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E6B24" w14:textId="77777777" w:rsidR="00BF44EA" w:rsidRPr="00957BA3" w:rsidRDefault="00BF44EA" w:rsidP="00BF44EA">
      <w:pPr>
        <w:spacing w:after="0" w:line="240" w:lineRule="auto"/>
        <w:rPr>
          <w:rFonts w:asciiTheme="majorHAnsi" w:hAnsiTheme="majorHAnsi" w:cstheme="majorHAnsi"/>
          <w:b/>
          <w:i/>
          <w:snapToGrid w:val="0"/>
          <w:sz w:val="24"/>
          <w:szCs w:val="36"/>
          <w:lang w:eastAsia="de-DE" w:bidi="en-US"/>
        </w:rPr>
      </w:pPr>
    </w:p>
    <w:p w14:paraId="65710231" w14:textId="126E2337" w:rsidR="00957BA3" w:rsidRPr="007D1BE8" w:rsidRDefault="00957BA3" w:rsidP="00BF44EA">
      <w:pPr>
        <w:spacing w:after="0" w:line="240" w:lineRule="auto"/>
        <w:rPr>
          <w:rFonts w:asciiTheme="majorHAnsi" w:hAnsiTheme="majorHAnsi" w:cstheme="majorHAnsi"/>
          <w:bCs/>
          <w:i/>
          <w:snapToGrid w:val="0"/>
          <w:sz w:val="24"/>
          <w:szCs w:val="36"/>
          <w:lang w:eastAsia="de-DE" w:bidi="en-US"/>
        </w:rPr>
      </w:pPr>
    </w:p>
    <w:p w14:paraId="3B6E01E5" w14:textId="77777777" w:rsidR="00957BA3" w:rsidRPr="00957BA3" w:rsidRDefault="00957BA3" w:rsidP="00BF44EA">
      <w:pPr>
        <w:spacing w:after="0" w:line="240" w:lineRule="auto"/>
        <w:rPr>
          <w:rFonts w:asciiTheme="majorHAnsi" w:hAnsiTheme="majorHAnsi" w:cstheme="majorHAnsi"/>
          <w:b/>
          <w:snapToGrid w:val="0"/>
          <w:sz w:val="18"/>
          <w:lang w:eastAsia="de-DE" w:bidi="en-US"/>
        </w:rPr>
      </w:pPr>
    </w:p>
    <w:p w14:paraId="064B7DD8" w14:textId="4ABB9585" w:rsidR="008F11B9" w:rsidRDefault="008F11B9" w:rsidP="007B1470">
      <w:pPr>
        <w:widowControl/>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HAnsi" w:eastAsia="Times New Roman" w:hAnsiTheme="majorHAnsi" w:cstheme="majorHAnsi"/>
          <w:color w:val="202124"/>
          <w:sz w:val="42"/>
          <w:szCs w:val="42"/>
        </w:rPr>
      </w:pPr>
      <w:r w:rsidRPr="007B1470">
        <w:rPr>
          <w:rFonts w:asciiTheme="majorHAnsi" w:eastAsia="Times New Roman" w:hAnsiTheme="majorHAnsi" w:cstheme="majorHAnsi"/>
          <w:color w:val="202124"/>
          <w:sz w:val="42"/>
          <w:szCs w:val="42"/>
        </w:rPr>
        <w:t>Factors</w:t>
      </w:r>
      <w:r w:rsidR="004B7EC2">
        <w:rPr>
          <w:rFonts w:asciiTheme="majorHAnsi" w:eastAsia="Times New Roman" w:hAnsiTheme="majorHAnsi" w:cstheme="majorHAnsi"/>
          <w:color w:val="202124"/>
          <w:sz w:val="42"/>
          <w:szCs w:val="42"/>
        </w:rPr>
        <w:t xml:space="preserve"> </w:t>
      </w:r>
      <w:r w:rsidRPr="007B1470">
        <w:rPr>
          <w:rFonts w:asciiTheme="majorHAnsi" w:eastAsia="Times New Roman" w:hAnsiTheme="majorHAnsi" w:cstheme="majorHAnsi"/>
          <w:color w:val="202124"/>
          <w:sz w:val="42"/>
          <w:szCs w:val="42"/>
        </w:rPr>
        <w:t>Affecting Inter-Regional Human Development Index in Jambi Province</w:t>
      </w:r>
    </w:p>
    <w:p w14:paraId="5ACC6384" w14:textId="157762CE" w:rsidR="00CD1B84" w:rsidRPr="00A7435D" w:rsidRDefault="00CD1B84" w:rsidP="00CD1B84">
      <w:pPr>
        <w:pStyle w:val="MDPI14history"/>
        <w:spacing w:before="240" w:after="240"/>
        <w:ind w:left="0"/>
        <w:rPr>
          <w:rFonts w:asciiTheme="majorHAnsi" w:hAnsiTheme="majorHAnsi" w:cstheme="majorHAnsi"/>
          <w:b/>
          <w:sz w:val="24"/>
          <w:szCs w:val="22"/>
        </w:rPr>
      </w:pPr>
      <w:r>
        <w:rPr>
          <w:rFonts w:ascii="Calibri" w:hAnsi="Calibri"/>
          <w:b/>
          <w:sz w:val="22"/>
        </w:rPr>
        <w:t>Choirur Rohmah</w:t>
      </w:r>
      <w:r w:rsidRPr="00A7435D">
        <w:rPr>
          <w:rFonts w:ascii="Calibri" w:hAnsi="Calibri"/>
          <w:b/>
          <w:sz w:val="22"/>
          <w:vertAlign w:val="superscript"/>
        </w:rPr>
        <w:t>1</w:t>
      </w:r>
      <w:r>
        <w:rPr>
          <w:rFonts w:ascii="Calibri" w:hAnsi="Calibri"/>
          <w:b/>
          <w:sz w:val="22"/>
          <w:vertAlign w:val="superscript"/>
        </w:rPr>
        <w:t>*</w:t>
      </w:r>
      <w:r w:rsidRPr="00A7435D">
        <w:rPr>
          <w:rFonts w:ascii="Calibri" w:hAnsi="Calibri"/>
          <w:b/>
          <w:sz w:val="22"/>
        </w:rPr>
        <w:t xml:space="preserve">, </w:t>
      </w:r>
      <w:r>
        <w:rPr>
          <w:rFonts w:ascii="Calibri" w:hAnsi="Calibri"/>
          <w:b/>
          <w:sz w:val="22"/>
        </w:rPr>
        <w:t>Suratno</w:t>
      </w:r>
      <w:r w:rsidRPr="00A7435D">
        <w:rPr>
          <w:rFonts w:ascii="Calibri" w:hAnsi="Calibri"/>
          <w:b/>
          <w:sz w:val="22"/>
          <w:vertAlign w:val="superscript"/>
        </w:rPr>
        <w:t>2</w:t>
      </w:r>
      <w:r>
        <w:rPr>
          <w:rFonts w:ascii="Calibri" w:hAnsi="Calibri"/>
          <w:b/>
          <w:sz w:val="22"/>
        </w:rPr>
        <w:t xml:space="preserve">, </w:t>
      </w:r>
      <w:r>
        <w:rPr>
          <w:rFonts w:ascii="Calibri" w:hAnsi="Calibri"/>
          <w:b/>
          <w:sz w:val="22"/>
        </w:rPr>
        <w:t>Kuswanto</w:t>
      </w:r>
      <w:r w:rsidRPr="00A7435D">
        <w:rPr>
          <w:rFonts w:ascii="Calibri" w:hAnsi="Calibri"/>
          <w:b/>
          <w:sz w:val="22"/>
          <w:vertAlign w:val="superscript"/>
        </w:rPr>
        <w:t>2</w:t>
      </w:r>
      <w:r w:rsidRPr="00CD1B84">
        <w:rPr>
          <w:rFonts w:ascii="Calibri" w:hAnsi="Calibri"/>
          <w:b/>
          <w:sz w:val="22"/>
        </w:rPr>
        <w:t xml:space="preserve"> </w:t>
      </w:r>
      <w:r>
        <w:rPr>
          <w:rFonts w:ascii="Calibri" w:hAnsi="Calibri"/>
          <w:b/>
          <w:sz w:val="22"/>
        </w:rPr>
        <w:t xml:space="preserve">and </w:t>
      </w:r>
      <w:proofErr w:type="spellStart"/>
      <w:r>
        <w:rPr>
          <w:rFonts w:ascii="Calibri" w:hAnsi="Calibri"/>
          <w:b/>
          <w:sz w:val="22"/>
        </w:rPr>
        <w:t>Ervan</w:t>
      </w:r>
      <w:proofErr w:type="spellEnd"/>
      <w:r>
        <w:rPr>
          <w:rFonts w:ascii="Calibri" w:hAnsi="Calibri"/>
          <w:b/>
          <w:sz w:val="22"/>
        </w:rPr>
        <w:t xml:space="preserve"> Johan Wicaksana</w:t>
      </w:r>
      <w:r w:rsidRPr="00A7435D">
        <w:rPr>
          <w:rFonts w:ascii="Calibri" w:hAnsi="Calibri"/>
          <w:b/>
          <w:sz w:val="22"/>
          <w:vertAlign w:val="superscript"/>
        </w:rPr>
        <w:t>2</w:t>
      </w:r>
    </w:p>
    <w:p w14:paraId="6E1296D7" w14:textId="77777777" w:rsidR="00CD1B84" w:rsidRPr="00C219A6" w:rsidRDefault="00CD1B84" w:rsidP="00CD1B84">
      <w:pPr>
        <w:spacing w:after="0" w:line="200" w:lineRule="atLeast"/>
        <w:ind w:left="322" w:hanging="180"/>
        <w:contextualSpacing/>
        <w:rPr>
          <w:rFonts w:cstheme="minorHAnsi"/>
          <w:vertAlign w:val="superscript"/>
        </w:rPr>
      </w:pPr>
      <w:r w:rsidRPr="00277E31">
        <w:rPr>
          <w:rFonts w:cstheme="minorHAnsi"/>
          <w:vertAlign w:val="superscript"/>
        </w:rPr>
        <w:t>1</w:t>
      </w:r>
      <w:proofErr w:type="spellStart"/>
      <w:r>
        <w:rPr>
          <w:lang w:val="fr-CH"/>
        </w:rPr>
        <w:t>Universitas</w:t>
      </w:r>
      <w:proofErr w:type="spellEnd"/>
      <w:r>
        <w:rPr>
          <w:lang w:val="fr-CH"/>
        </w:rPr>
        <w:t xml:space="preserve"> Jambi</w:t>
      </w:r>
      <w:r w:rsidRPr="00A7435D">
        <w:rPr>
          <w:lang w:val="fr-CH"/>
        </w:rPr>
        <w:t xml:space="preserve"> 1; </w:t>
      </w:r>
      <w:r>
        <w:rPr>
          <w:lang w:val="fr-CH"/>
        </w:rPr>
        <w:t>choirurrohmah31@gmail.com</w:t>
      </w:r>
    </w:p>
    <w:p w14:paraId="5A31B8C7" w14:textId="77777777" w:rsidR="00CD1B84" w:rsidRPr="0011596A" w:rsidRDefault="00CD1B84" w:rsidP="00CD1B84">
      <w:pPr>
        <w:ind w:firstLine="113"/>
        <w:rPr>
          <w:lang w:eastAsia="de-DE" w:bidi="en-US"/>
        </w:rPr>
      </w:pPr>
      <w:r w:rsidRPr="00277E31">
        <w:rPr>
          <w:rFonts w:cstheme="minorHAnsi"/>
        </w:rPr>
        <w:t>*</w:t>
      </w:r>
      <w:r>
        <w:rPr>
          <w:rFonts w:cstheme="minorHAnsi"/>
        </w:rPr>
        <w:t xml:space="preserve">Correspondence author: </w:t>
      </w:r>
      <w:r>
        <w:rPr>
          <w:lang w:val="fr-CH"/>
        </w:rPr>
        <w:t>choirurrohmah31@gmail.co</w:t>
      </w:r>
      <w:r w:rsidRPr="00A7435D">
        <w:rPr>
          <w:rFonts w:cstheme="minorHAnsi"/>
        </w:rPr>
        <w:t>; Tel.: +</w:t>
      </w:r>
      <w:r>
        <w:rPr>
          <w:rFonts w:cstheme="minorHAnsi"/>
        </w:rPr>
        <w:t>62</w:t>
      </w:r>
      <w:r w:rsidRPr="00A7435D">
        <w:rPr>
          <w:rFonts w:cstheme="minorHAnsi"/>
        </w:rPr>
        <w:t>-</w:t>
      </w:r>
      <w:r>
        <w:rPr>
          <w:rFonts w:cstheme="minorHAnsi"/>
        </w:rPr>
        <w:t>812</w:t>
      </w:r>
      <w:r w:rsidRPr="00A7435D">
        <w:rPr>
          <w:rFonts w:cstheme="minorHAnsi"/>
        </w:rPr>
        <w:t>-</w:t>
      </w:r>
      <w:r>
        <w:rPr>
          <w:rFonts w:cstheme="minorHAnsi"/>
        </w:rPr>
        <w:t>3054</w:t>
      </w:r>
      <w:r w:rsidRPr="00A7435D">
        <w:rPr>
          <w:rFonts w:cstheme="minorHAnsi"/>
        </w:rPr>
        <w:t>-</w:t>
      </w:r>
      <w:r>
        <w:rPr>
          <w:rFonts w:cstheme="minorHAnsi"/>
        </w:rPr>
        <w:t>1520</w:t>
      </w:r>
    </w:p>
    <w:p w14:paraId="408AA21B" w14:textId="77777777" w:rsidR="00CD1B84" w:rsidRPr="00F7407B" w:rsidRDefault="00CD1B84" w:rsidP="00CD1B84">
      <w:pPr>
        <w:pStyle w:val="MDPI14history"/>
        <w:spacing w:before="240" w:after="240"/>
        <w:ind w:left="311" w:hanging="198"/>
        <w:rPr>
          <w:rFonts w:asciiTheme="majorHAnsi" w:hAnsiTheme="majorHAnsi" w:cstheme="majorHAnsi"/>
          <w:sz w:val="22"/>
          <w:szCs w:val="22"/>
          <w:lang w:val="id-ID"/>
        </w:rPr>
      </w:pPr>
      <w:r w:rsidRPr="00F7407B">
        <w:rPr>
          <w:rFonts w:asciiTheme="majorHAnsi" w:hAnsiTheme="majorHAnsi" w:cstheme="majorHAnsi"/>
          <w:b/>
          <w:sz w:val="22"/>
          <w:szCs w:val="22"/>
        </w:rPr>
        <w:t>Article Info:</w:t>
      </w:r>
      <w:r>
        <w:rPr>
          <w:rFonts w:asciiTheme="majorHAnsi" w:hAnsiTheme="majorHAnsi" w:cstheme="majorHAnsi"/>
          <w:sz w:val="22"/>
          <w:szCs w:val="22"/>
        </w:rPr>
        <w:t xml:space="preserve"> Received: XX January 20XX; Accepted: XX February 20XX</w:t>
      </w:r>
      <w:r w:rsidRPr="00F7407B">
        <w:rPr>
          <w:rFonts w:asciiTheme="majorHAnsi" w:hAnsiTheme="majorHAnsi" w:cstheme="majorHAnsi"/>
          <w:sz w:val="22"/>
          <w:szCs w:val="22"/>
        </w:rPr>
        <w:t xml:space="preserve">; Published: </w:t>
      </w:r>
      <w:r>
        <w:rPr>
          <w:rFonts w:asciiTheme="majorHAnsi" w:hAnsiTheme="majorHAnsi" w:cstheme="majorHAnsi"/>
          <w:sz w:val="22"/>
          <w:szCs w:val="22"/>
        </w:rPr>
        <w:t>XX June 20XX</w:t>
      </w:r>
    </w:p>
    <w:p w14:paraId="304B3923" w14:textId="77777777" w:rsidR="007A69FD" w:rsidRDefault="00A87924" w:rsidP="007A69FD">
      <w:pPr>
        <w:pBdr>
          <w:bottom w:val="single" w:sz="4" w:space="1" w:color="auto"/>
        </w:pBdr>
        <w:spacing w:after="0" w:line="240" w:lineRule="auto"/>
        <w:ind w:left="142"/>
        <w:jc w:val="both"/>
        <w:rPr>
          <w:sz w:val="20"/>
          <w:szCs w:val="20"/>
        </w:rPr>
      </w:pPr>
      <w:r w:rsidRPr="00A24404">
        <w:rPr>
          <w:b/>
          <w:sz w:val="20"/>
          <w:szCs w:val="20"/>
        </w:rPr>
        <w:t xml:space="preserve">Abstract: </w:t>
      </w:r>
      <w:r w:rsidR="002A2D18" w:rsidRPr="002A2D18">
        <w:rPr>
          <w:sz w:val="20"/>
          <w:szCs w:val="20"/>
        </w:rPr>
        <w:t>This study aims to analyze the factors that affect the human development index (HDI) between regions of Jambi Province for the 2010-2020 period. The measured factors are health, education and economy. Health factors are measured by life expectancy (LE) indicators. The education factor has indicators of</w:t>
      </w:r>
      <w:r w:rsidR="007A69FD">
        <w:rPr>
          <w:sz w:val="20"/>
          <w:szCs w:val="20"/>
        </w:rPr>
        <w:t xml:space="preserve"> the length of school expectation </w:t>
      </w:r>
      <w:r w:rsidR="002A2D18" w:rsidRPr="002A2D18">
        <w:rPr>
          <w:sz w:val="20"/>
          <w:szCs w:val="20"/>
        </w:rPr>
        <w:t xml:space="preserve">(LSE) and average length of schooling (LSE). The economy can be measured by spending per capita. The type of data in this study is secondary data, namely data obtained and collected indirectly from the object under study. The objects of this research are 9 districts and 2 cities in Jambi Province for the period 2010-2020 from the official portal of the Central Statistics Agency (BPS) Jambi Province. Data analysis through panel data regression. The results showed that health (LE), education (LSE and ALS), and economic factors (per capita income) had a positive effect on HDI among regions in Jambi Province. </w:t>
      </w:r>
      <w:proofErr w:type="gramStart"/>
      <w:r w:rsidR="002A2D18" w:rsidRPr="002A2D18">
        <w:rPr>
          <w:sz w:val="20"/>
          <w:szCs w:val="20"/>
        </w:rPr>
        <w:t>So</w:t>
      </w:r>
      <w:proofErr w:type="gramEnd"/>
      <w:r w:rsidR="002A2D18" w:rsidRPr="002A2D18">
        <w:rPr>
          <w:sz w:val="20"/>
          <w:szCs w:val="20"/>
        </w:rPr>
        <w:t xml:space="preserve"> it is known that the human development index is a measure of relative human development, if the HDI increases, it means that the welfare of the community also increases, thereby decreasing poverty.</w:t>
      </w:r>
    </w:p>
    <w:p w14:paraId="50DBBC05" w14:textId="77777777" w:rsidR="00AD7DAC" w:rsidRDefault="00AD7DAC" w:rsidP="007A69FD">
      <w:pPr>
        <w:pBdr>
          <w:bottom w:val="single" w:sz="4" w:space="1" w:color="auto"/>
        </w:pBdr>
        <w:spacing w:after="0" w:line="240" w:lineRule="auto"/>
        <w:ind w:left="142"/>
        <w:jc w:val="both"/>
        <w:rPr>
          <w:sz w:val="20"/>
          <w:szCs w:val="20"/>
        </w:rPr>
      </w:pPr>
    </w:p>
    <w:p w14:paraId="18C8F086" w14:textId="77777777" w:rsidR="00D2546D" w:rsidRDefault="00A87924" w:rsidP="007A69FD">
      <w:pPr>
        <w:pBdr>
          <w:bottom w:val="single" w:sz="4" w:space="1" w:color="auto"/>
        </w:pBdr>
        <w:spacing w:after="0" w:line="240" w:lineRule="auto"/>
        <w:ind w:left="142"/>
        <w:jc w:val="both"/>
        <w:rPr>
          <w:sz w:val="20"/>
          <w:szCs w:val="20"/>
        </w:rPr>
      </w:pPr>
      <w:r w:rsidRPr="00A24404">
        <w:rPr>
          <w:b/>
          <w:sz w:val="20"/>
          <w:szCs w:val="20"/>
        </w:rPr>
        <w:t xml:space="preserve">Keywords: </w:t>
      </w:r>
      <w:r w:rsidR="007A69FD" w:rsidRPr="007A69FD">
        <w:rPr>
          <w:bCs/>
          <w:sz w:val="20"/>
          <w:szCs w:val="20"/>
        </w:rPr>
        <w:t>Human Development Index;</w:t>
      </w:r>
      <w:r w:rsidR="00D56969">
        <w:rPr>
          <w:bCs/>
          <w:sz w:val="20"/>
          <w:szCs w:val="20"/>
        </w:rPr>
        <w:t xml:space="preserve"> </w:t>
      </w:r>
      <w:r w:rsidR="007A69FD" w:rsidRPr="007A69FD">
        <w:rPr>
          <w:bCs/>
          <w:sz w:val="20"/>
          <w:szCs w:val="20"/>
        </w:rPr>
        <w:t>L</w:t>
      </w:r>
      <w:r w:rsidR="007A69FD">
        <w:rPr>
          <w:bCs/>
          <w:sz w:val="20"/>
          <w:szCs w:val="20"/>
        </w:rPr>
        <w:t>ife Expectancy (LE)</w:t>
      </w:r>
      <w:r w:rsidR="007A69FD" w:rsidRPr="007A69FD">
        <w:rPr>
          <w:bCs/>
          <w:sz w:val="20"/>
          <w:szCs w:val="20"/>
        </w:rPr>
        <w:t>;</w:t>
      </w:r>
      <w:r w:rsidR="007A69FD">
        <w:rPr>
          <w:bCs/>
          <w:sz w:val="20"/>
          <w:szCs w:val="20"/>
        </w:rPr>
        <w:t xml:space="preserve"> </w:t>
      </w:r>
      <w:r w:rsidR="007A69FD">
        <w:rPr>
          <w:sz w:val="20"/>
          <w:szCs w:val="20"/>
        </w:rPr>
        <w:t>the length of school expectation (</w:t>
      </w:r>
      <w:r w:rsidR="007A69FD" w:rsidRPr="007A69FD">
        <w:rPr>
          <w:bCs/>
          <w:sz w:val="20"/>
          <w:szCs w:val="20"/>
        </w:rPr>
        <w:t>LSE</w:t>
      </w:r>
      <w:r w:rsidR="00D56969">
        <w:rPr>
          <w:bCs/>
          <w:sz w:val="20"/>
          <w:szCs w:val="20"/>
        </w:rPr>
        <w:t>)</w:t>
      </w:r>
      <w:r w:rsidR="007A69FD" w:rsidRPr="007A69FD">
        <w:rPr>
          <w:bCs/>
          <w:sz w:val="20"/>
          <w:szCs w:val="20"/>
        </w:rPr>
        <w:t>;</w:t>
      </w:r>
      <w:r w:rsidR="007A69FD" w:rsidRPr="007A69FD">
        <w:rPr>
          <w:sz w:val="20"/>
          <w:szCs w:val="20"/>
        </w:rPr>
        <w:t xml:space="preserve"> </w:t>
      </w:r>
      <w:r w:rsidR="007A69FD" w:rsidRPr="002A2D18">
        <w:rPr>
          <w:sz w:val="20"/>
          <w:szCs w:val="20"/>
        </w:rPr>
        <w:t xml:space="preserve">average length of schooling </w:t>
      </w:r>
      <w:r w:rsidR="007A69FD">
        <w:rPr>
          <w:sz w:val="20"/>
          <w:szCs w:val="20"/>
        </w:rPr>
        <w:t>(</w:t>
      </w:r>
      <w:r w:rsidR="007A69FD" w:rsidRPr="007A69FD">
        <w:rPr>
          <w:bCs/>
          <w:sz w:val="20"/>
          <w:szCs w:val="20"/>
        </w:rPr>
        <w:t>ALS</w:t>
      </w:r>
      <w:r w:rsidR="007A69FD">
        <w:rPr>
          <w:bCs/>
          <w:sz w:val="20"/>
          <w:szCs w:val="20"/>
        </w:rPr>
        <w:t>)</w:t>
      </w:r>
      <w:r w:rsidR="007A69FD" w:rsidRPr="007A69FD">
        <w:rPr>
          <w:bCs/>
          <w:sz w:val="20"/>
          <w:szCs w:val="20"/>
        </w:rPr>
        <w:t>; expenditure per capita</w:t>
      </w:r>
    </w:p>
    <w:p w14:paraId="6FBFFCF3" w14:textId="77777777" w:rsidR="007A69FD" w:rsidRDefault="007A69FD" w:rsidP="004E53EF">
      <w:pPr>
        <w:pBdr>
          <w:bottom w:val="single" w:sz="4" w:space="1" w:color="auto"/>
        </w:pBdr>
        <w:spacing w:after="0" w:line="240" w:lineRule="auto"/>
        <w:ind w:left="142"/>
        <w:jc w:val="both"/>
        <w:rPr>
          <w:b/>
          <w:sz w:val="20"/>
          <w:szCs w:val="20"/>
        </w:rPr>
      </w:pPr>
    </w:p>
    <w:p w14:paraId="3357DFED" w14:textId="77777777" w:rsidR="006D6E95" w:rsidRDefault="006D6E95" w:rsidP="004E53EF">
      <w:pPr>
        <w:pBdr>
          <w:bottom w:val="single" w:sz="4" w:space="1" w:color="auto"/>
        </w:pBdr>
        <w:spacing w:after="0" w:line="240" w:lineRule="auto"/>
        <w:ind w:left="142"/>
        <w:jc w:val="both"/>
        <w:rPr>
          <w:b/>
          <w:sz w:val="20"/>
          <w:szCs w:val="20"/>
        </w:rPr>
      </w:pPr>
      <w:r>
        <w:rPr>
          <w:b/>
          <w:sz w:val="20"/>
          <w:szCs w:val="20"/>
        </w:rPr>
        <w:t>JEL Classification:</w:t>
      </w:r>
    </w:p>
    <w:p w14:paraId="4D36656F" w14:textId="77777777" w:rsidR="004E53EF" w:rsidRPr="004E53EF" w:rsidRDefault="004E53EF" w:rsidP="004E53EF">
      <w:pPr>
        <w:pBdr>
          <w:bottom w:val="single" w:sz="4" w:space="1" w:color="auto"/>
        </w:pBdr>
        <w:spacing w:after="120" w:line="240" w:lineRule="auto"/>
        <w:ind w:left="142"/>
        <w:jc w:val="both"/>
        <w:rPr>
          <w:b/>
          <w:sz w:val="20"/>
          <w:szCs w:val="20"/>
        </w:rPr>
      </w:pPr>
    </w:p>
    <w:p w14:paraId="2E6C7CC7" w14:textId="77777777" w:rsidR="00D2546D" w:rsidRDefault="00E641CF" w:rsidP="000E2547">
      <w:pPr>
        <w:spacing w:before="240" w:after="120" w:line="240" w:lineRule="auto"/>
        <w:outlineLvl w:val="0"/>
        <w:rPr>
          <w:b/>
        </w:rPr>
      </w:pPr>
      <w:r>
        <w:rPr>
          <w:b/>
        </w:rPr>
        <w:t xml:space="preserve">1. </w:t>
      </w:r>
      <w:r w:rsidR="006D7E13">
        <w:rPr>
          <w:b/>
        </w:rPr>
        <w:t>INTRODUCTION</w:t>
      </w:r>
    </w:p>
    <w:p w14:paraId="12FBA195" w14:textId="77777777" w:rsidR="009017C6" w:rsidRPr="00A51A0A" w:rsidRDefault="007B1470" w:rsidP="007B1470">
      <w:pPr>
        <w:spacing w:after="0" w:line="240" w:lineRule="auto"/>
        <w:ind w:firstLine="426"/>
        <w:jc w:val="both"/>
      </w:pPr>
      <w:bookmarkStart w:id="0" w:name="30j0zll" w:colFirst="0" w:colLast="0"/>
      <w:bookmarkStart w:id="1" w:name="gjdgxs" w:colFirst="0" w:colLast="0"/>
      <w:bookmarkEnd w:id="0"/>
      <w:bookmarkEnd w:id="1"/>
      <w:r w:rsidRPr="00A51A0A">
        <w:t xml:space="preserve">The Human Development Index (HDI) is a simple statistical measure in assessing the development of countries in the world from a social and economic perspective. The concept of human development was developed by a Pakistani economist named Mahbub ul </w:t>
      </w:r>
      <w:proofErr w:type="spellStart"/>
      <w:r w:rsidRPr="00A51A0A">
        <w:t>Haq</w:t>
      </w:r>
      <w:proofErr w:type="spellEnd"/>
      <w:r w:rsidRPr="00A51A0A">
        <w:t xml:space="preserve"> in the 80's. Gross Domestic Product is considered to fail to measure the level of human welfare </w:t>
      </w:r>
      <w:r w:rsidR="00A1701D" w:rsidRPr="00A51A0A">
        <w:fldChar w:fldCharType="begin" w:fldLock="1"/>
      </w:r>
      <w:r w:rsidRPr="00A51A0A">
        <w:instrText>ADDIN CSL_CITATION {"citationItems":[{"id":"ITEM-1","itemData":{"DOI":"10.1016/0305-750X(81)90011-5","ISSN":"0305750X","abstract":"This paper summarizes some of the main issues related to the World Bank's basic-needs oriented lending programme. In particular, based on country experience it discusses the lessons learned with regard to sectoral policies and programming for their basic needs and their implications for future lending. © 1981.","author":[{"dropping-particle":"","family":"Javed Burki","given":"Shahid","non-dropping-particle":"","parse-names":false,"suffix":""},{"dropping-particle":"","family":"Ul Haq","given":"Mahbub","non-dropping-particle":"","parse-names":false,"suffix":""}],"container-title":"World Development","id":"ITEM-1","issue":"2","issued":{"date-parts":[["1981"]]},"page":"167-182","title":"Meeting basic needs: An overview","type":"article-journal","volume":"9"},"uris":["http://www.mendeley.com/documents/?uuid=4f1c82cd-3b95-4297-8378-5656c1ca13ca"]}],"mendeley":{"formattedCitation":"(Javed Burki &amp; Ul Haq, 1981)","plainTextFormattedCitation":"(Javed Burki &amp; Ul Haq, 1981)","previouslyFormattedCitation":"(Javed Burki &amp; Ul Haq, 1981)"},"properties":{"noteIndex":0},"schema":"https://github.com/citation-style-language/schema/raw/master/csl-citation.json"}</w:instrText>
      </w:r>
      <w:r w:rsidR="00A1701D" w:rsidRPr="00A51A0A">
        <w:fldChar w:fldCharType="separate"/>
      </w:r>
      <w:r w:rsidRPr="00A51A0A">
        <w:rPr>
          <w:noProof/>
        </w:rPr>
        <w:t>(Javed Burki &amp; Ul Haq, 1981)</w:t>
      </w:r>
      <w:r w:rsidR="00A1701D" w:rsidRPr="00A51A0A">
        <w:fldChar w:fldCharType="end"/>
      </w:r>
      <w:r w:rsidRPr="00A51A0A">
        <w:t xml:space="preserve">. Human-centered development will have a positive effect on the environment and become the basis for intragenerational equality, global policy reform and international economic cooperation in shaping the concept of sustainable development </w:t>
      </w:r>
      <w:r w:rsidR="00A1701D" w:rsidRPr="00A51A0A">
        <w:fldChar w:fldCharType="begin" w:fldLock="1"/>
      </w:r>
      <w:r w:rsidR="00A51A0A">
        <w:instrText>ADDIN CSL_CITATION {"citationItems":[{"id":"ITEM-1","itemData":{"DOI":"10.1016/j.worlddev.2019.104706","ISSN":"18735991","abstract":"With the increasing importance of ‘emerging powers’ in the global economy, questions are raised about the role of developing countries in shaping global norms. The assumption in much of the literature has been to see global norms as originating in the ‘North’ (or the ‘West’). Recent research has begun to challenge this view. This paper contributes to this debate in studying the agency of the South in the adoption of sustainable development as the consensus framework for international development (SDGs). Based on documentary and archival research, interviews with stakeholders, and direct participant observation of the SDG negotiations and consultations, the paper chronicles the ideas originating from the South in the emergence and subsequent evolution of the sustainable development concept and the adoption of the SDGs. We highlight the role of key individuals as norm entrepreneurs at the origin of sustainable development as they challenged the North-led understanding of the environmental challenge in the 1970s and 1980s, and the agency of Southern actors in proposing an alternative vision as a successor to the MDGs. We chronicle the agency of Southern actors in promoting some key priorities of sustainable development. We argue that these ideas originated from the perspective of the knowledge, lived experience, policy experience, theorizing and analysis of the Global South. We find that norm entrepreneurship involved contesting mainstream views and advancing marginalized ideas. The case also illustrates international norm emergence as a long term process of contestation and evolution.","author":[{"dropping-particle":"","family":"Fukuda-Parr","given":"Sakiko","non-dropping-particle":"","parse-names":false,"suffix":""},{"dropping-particle":"","family":"Muchhala","given":"Bhumika","non-dropping-particle":"","parse-names":false,"suffix":""}],"container-title":"World Development","id":"ITEM-1","issue":"104706","issued":{"date-parts":[["2020"]]},"page":"1-11","publisher":"Elsevier Ltd","title":"The Southern origins of sustainable development goals: Ideas, actors, aspirations","type":"article-journal","volume":"126"},"uris":["http://www.mendeley.com/documents/?uuid=51bd6b9d-4e3c-4464-bbab-9c9e5c94aeff"]}],"mendeley":{"formattedCitation":"(Fukuda-Parr &amp; Muchhala, 2020)","plainTextFormattedCitation":"(Fukuda-Parr &amp; Muchhala, 2020)","previouslyFormattedCitation":"(Fukuda-Parr &amp; Muchhala, 2020)"},"properties":{"noteIndex":0},"schema":"https://github.com/citation-style-language/schema/raw/master/csl-citation.json"}</w:instrText>
      </w:r>
      <w:r w:rsidR="00A1701D" w:rsidRPr="00A51A0A">
        <w:fldChar w:fldCharType="separate"/>
      </w:r>
      <w:r w:rsidRPr="00A51A0A">
        <w:rPr>
          <w:noProof/>
        </w:rPr>
        <w:t>(Fukuda-Parr &amp; Muchhala, 2020)</w:t>
      </w:r>
      <w:r w:rsidR="00A1701D" w:rsidRPr="00A51A0A">
        <w:fldChar w:fldCharType="end"/>
      </w:r>
      <w:r w:rsidRPr="00A51A0A">
        <w:t>.</w:t>
      </w:r>
    </w:p>
    <w:p w14:paraId="5A7288F3" w14:textId="77777777" w:rsidR="00120A27" w:rsidRDefault="00901590" w:rsidP="00901590">
      <w:pPr>
        <w:pStyle w:val="BodyText"/>
        <w:spacing w:before="8"/>
        <w:ind w:firstLine="426"/>
        <w:jc w:val="both"/>
        <w:rPr>
          <w:rFonts w:ascii="Calibri" w:hAnsi="Calibri" w:cs="Calibri"/>
          <w:sz w:val="22"/>
          <w:szCs w:val="22"/>
        </w:rPr>
      </w:pPr>
      <w:r w:rsidRPr="00901590">
        <w:rPr>
          <w:rFonts w:ascii="Calibri" w:hAnsi="Calibri" w:cs="Calibri"/>
          <w:sz w:val="22"/>
          <w:szCs w:val="22"/>
        </w:rPr>
        <w:t xml:space="preserve">The HDI measurement is based on a complete and measurable compromise then conceptualized on three components: longevity and a healthy life, access to educational </w:t>
      </w:r>
      <w:proofErr w:type="gramStart"/>
      <w:r w:rsidRPr="00901590">
        <w:rPr>
          <w:rFonts w:ascii="Calibri" w:hAnsi="Calibri" w:cs="Calibri"/>
          <w:sz w:val="22"/>
          <w:szCs w:val="22"/>
        </w:rPr>
        <w:t>knowledge  a</w:t>
      </w:r>
      <w:r w:rsidR="00540C99">
        <w:rPr>
          <w:rFonts w:ascii="Calibri" w:hAnsi="Calibri" w:cs="Calibri"/>
          <w:sz w:val="22"/>
          <w:szCs w:val="22"/>
        </w:rPr>
        <w:t>nd</w:t>
      </w:r>
      <w:proofErr w:type="gramEnd"/>
      <w:r w:rsidR="00540C99">
        <w:rPr>
          <w:rFonts w:ascii="Calibri" w:hAnsi="Calibri" w:cs="Calibri"/>
          <w:sz w:val="22"/>
          <w:szCs w:val="22"/>
        </w:rPr>
        <w:t xml:space="preserve"> a decent standard of living</w:t>
      </w:r>
      <w:r w:rsidRPr="00901590">
        <w:rPr>
          <w:rFonts w:ascii="Calibri" w:hAnsi="Calibri" w:cs="Calibri"/>
          <w:sz w:val="22"/>
          <w:szCs w:val="22"/>
        </w:rPr>
        <w:t xml:space="preserve">. These components are targets to be achieved to get a quality life. Components are quantified in indicators: life expectancy at birth, expected length of schooling and average length of schooling, and annual per capita expenditure </w:t>
      </w:r>
      <w:r w:rsidR="00A1701D">
        <w:rPr>
          <w:rFonts w:ascii="Calibri" w:hAnsi="Calibri" w:cs="Calibri"/>
          <w:sz w:val="22"/>
          <w:szCs w:val="22"/>
        </w:rPr>
        <w:fldChar w:fldCharType="begin" w:fldLock="1"/>
      </w:r>
      <w:r w:rsidR="00B46A0E">
        <w:rPr>
          <w:rFonts w:ascii="Calibri" w:hAnsi="Calibri" w:cs="Calibri"/>
          <w:sz w:val="22"/>
          <w:szCs w:val="22"/>
        </w:rPr>
        <w:instrText>ADDIN CSL_CITATION {"citationItems":[{"id":"ITEM-1","itemData":{"author":[{"dropping-particle":"","family":"BPS","given":"","non-dropping-particle":"","parse-names":false,"suffix":""}],"id":"ITEM-1","issued":{"date-parts":[["2018"]]},"number-of-pages":"1-144","publisher":"Badan Pusat Statistik","publisher-place":"Jakarta","title":"Indeks Pembangunan Manusia 2017","type":"report"},"uris":["http://www.mendeley.com/documents/?uuid=234b673c-c590-4d29-ae51-a42488206ce9"]}],"mendeley":{"formattedCitation":"(BPS, 2018)","plainTextFormattedCitation":"(BPS, 2018)","previouslyFormattedCitation":"(BPS, 2018)"},"properties":{"noteIndex":0},"schema":"https://github.com/citation-style-language/schema/raw/master/csl-citation.json"}</w:instrText>
      </w:r>
      <w:r w:rsidR="00A1701D">
        <w:rPr>
          <w:rFonts w:ascii="Calibri" w:hAnsi="Calibri" w:cs="Calibri"/>
          <w:sz w:val="22"/>
          <w:szCs w:val="22"/>
        </w:rPr>
        <w:fldChar w:fldCharType="separate"/>
      </w:r>
      <w:r w:rsidR="00540C99" w:rsidRPr="00540C99">
        <w:rPr>
          <w:rFonts w:ascii="Calibri" w:hAnsi="Calibri" w:cs="Calibri"/>
          <w:noProof/>
          <w:sz w:val="22"/>
          <w:szCs w:val="22"/>
        </w:rPr>
        <w:t>(BPS, 2018)</w:t>
      </w:r>
      <w:r w:rsidR="00A1701D">
        <w:rPr>
          <w:rFonts w:ascii="Calibri" w:hAnsi="Calibri" w:cs="Calibri"/>
          <w:sz w:val="22"/>
          <w:szCs w:val="22"/>
        </w:rPr>
        <w:fldChar w:fldCharType="end"/>
      </w:r>
      <w:r w:rsidR="00540C99">
        <w:rPr>
          <w:rFonts w:ascii="Calibri" w:hAnsi="Calibri" w:cs="Calibri"/>
          <w:sz w:val="22"/>
          <w:szCs w:val="22"/>
        </w:rPr>
        <w:t xml:space="preserve">. </w:t>
      </w:r>
      <w:r w:rsidRPr="00901590">
        <w:rPr>
          <w:rFonts w:ascii="Calibri" w:hAnsi="Calibri" w:cs="Calibri"/>
          <w:sz w:val="22"/>
          <w:szCs w:val="22"/>
        </w:rPr>
        <w:t xml:space="preserve">HDI is based on health, education, and economic components because of its contribution to improving the quality of life of the community which encourages economic growth, contributes to increased employment opportunities by making life more meaningful for oneself and others. It dictates greater growth for personal gain and paves the way for economic growth and progress of the country </w:t>
      </w:r>
      <w:r w:rsidR="00A1701D" w:rsidRPr="007D1F3A">
        <w:rPr>
          <w:rFonts w:ascii="Calibri" w:hAnsi="Calibri" w:cs="Calibri"/>
          <w:sz w:val="22"/>
          <w:szCs w:val="22"/>
        </w:rPr>
        <w:fldChar w:fldCharType="begin" w:fldLock="1"/>
      </w:r>
      <w:r w:rsidR="007D1F3A" w:rsidRPr="007D1F3A">
        <w:rPr>
          <w:rFonts w:ascii="Calibri" w:hAnsi="Calibri" w:cs="Calibri"/>
          <w:sz w:val="22"/>
          <w:szCs w:val="22"/>
        </w:rPr>
        <w:instrText>ADDIN CSL_CITATION {"citationItems":[{"id":"ITEM-1","itemData":{"DOI":"10.2307/2937943","ISSN":"00335533","abstract":"For 98 countries in the period 1960-1985, the growth rate of real per capita GDP is positively related to initial human capital and negatively related to the initial level of real per capita GDP. Countries with higher human capital also have lower fertility rates and higher ratios of physical investment to GDP. Growth is inversely related to the share of government consumption in GDP, but insignificantly related to the share of public investment. Growth rates are positively related to measures of political stability and inversely related to a proxy for market distortions. -Author","author":[{"dropping-particle":"","family":"Barro","given":"R. J.","non-dropping-particle":"","parse-names":false,"suffix":""}],"container-title":"Quarterly Journal of Economics","id":"ITEM-1","issue":"2","issued":{"date-parts":[["2007"]]},"page":"407-443","title":"Economic growth in a cross section of countries","type":"article-journal","volume":"106"},"uris":["http://www.mendeley.com/documents/?uuid=94cc2483-71fd-4320-b0ac-e6717b83cffb"]},{"id":"ITEM-2","itemData":{"DOI":"10.1016/s2212-5671(15)00692-9","ISSN":"22125671","abstract":"In the article, a theory of human development based on reports (Research) of United Nations Development Program is described. Model of human development, which was obtained by means of correlation analysis of a number of quantitative indicators of human development across countries, is considered. The main components of the model are the human development index, the index of innovation, ICT index, Gross national income and life expectancy indexes.","author":[{"dropping-particle":"","family":"Yakunina","given":"R.P.","non-dropping-particle":"","parse-names":false,"suffix":""},{"dropping-particle":"","family":"Bychkov","given":"G.A.","non-dropping-particle":"","parse-names":false,"suffix":""}],"container-title":"Procedia Economics and Finance","id":"ITEM-2","issue":"July","issued":{"date-parts":[["2015"]]},"page":"766-771","publisher":"Elsevier B.V.","title":"Correlation Analysis of the Components of the Human Development Index Across Countries","type":"paper-conference","volume":"24"},"uris":["http://www.mendeley.com/documents/?uuid=190f338b-44b6-45c0-a2cb-a6802375288f"]},{"id":"ITEM-3","itemData":{"ISBN":"9786027398689","author":[{"dropping-particle":"","family":"Koestoer","given":"Raldi Hendro","non-dropping-particle":"","parse-names":false,"suffix":""},{"dropping-particle":"","family":"Hasibuan","given":"Hayati Sri","non-dropping-particle":"","parse-names":false,"suffix":""},{"dropping-particle":"","family":"Cessna","given":"Alphana Fridia","non-dropping-particle":"","parse-names":false,"suffix":""},{"dropping-particle":"","family":"Amadira","given":"Gianina","non-dropping-particle":"","parse-names":false,"suffix":""},{"dropping-particle":"","family":"Safrizal","given":"Alvian","non-dropping-particle":"","parse-names":false,"suffix":""},{"dropping-particle":"","family":"Supriyanto","given":"Eko","non-dropping-particle":"","parse-names":false,"suffix":""}],"id":"ITEM-3","issued":{"date-parts":[["2016"]]},"publisher":"Program Studi Ilmu Lingkungan Sekolah Ilmu Lingkungan Universitas Indonesia Jakarta","publisher-place":"Jakarta","title":"Telaah Hubungan Ekonomi dan Pembangunan Manusia dan Kebudayaan (Kumpulan Telaah Aspek Pembangunan Ekonoi, Manusia dan Kebudayaan","type":"book"},"uris":["http://www.mendeley.com/documents/?uuid=a9abdb22-4c4d-4fcb-9788-1f4f4f0b90f1"]}],"mendeley":{"formattedCitation":"(Barro, 2007; Koestoer et al., 2016; Yakunina &amp; Bychkov, 2015)","plainTextFormattedCitation":"(Barro, 2007; Koestoer et al., 2016; Yakunina &amp; Bychkov, 2015)","previouslyFormattedCitation":"(Barro, 2007; Koestoer et al., 2016; Yakunina &amp; Bychkov, 2015)"},"properties":{"noteIndex":0},"schema":"https://github.com/citation-style-language/schema/raw/master/csl-citation.json"}</w:instrText>
      </w:r>
      <w:r w:rsidR="00A1701D" w:rsidRPr="007D1F3A">
        <w:rPr>
          <w:rFonts w:ascii="Calibri" w:hAnsi="Calibri" w:cs="Calibri"/>
          <w:sz w:val="22"/>
          <w:szCs w:val="22"/>
        </w:rPr>
        <w:fldChar w:fldCharType="separate"/>
      </w:r>
      <w:r w:rsidR="007D1F3A" w:rsidRPr="007D1F3A">
        <w:rPr>
          <w:rFonts w:ascii="Calibri" w:hAnsi="Calibri" w:cs="Calibri"/>
          <w:noProof/>
          <w:sz w:val="22"/>
          <w:szCs w:val="22"/>
        </w:rPr>
        <w:t>(Barro, 2007; Koestoer et al., 2016; Yakunina &amp; Bychkov, 2015)</w:t>
      </w:r>
      <w:r w:rsidR="00A1701D" w:rsidRPr="007D1F3A">
        <w:rPr>
          <w:rFonts w:ascii="Calibri" w:hAnsi="Calibri" w:cs="Calibri"/>
          <w:sz w:val="22"/>
          <w:szCs w:val="22"/>
        </w:rPr>
        <w:fldChar w:fldCharType="end"/>
      </w:r>
      <w:r w:rsidR="007D1F3A" w:rsidRPr="007D1F3A">
        <w:rPr>
          <w:rFonts w:ascii="Calibri" w:hAnsi="Calibri" w:cs="Calibri"/>
          <w:sz w:val="22"/>
          <w:szCs w:val="22"/>
        </w:rPr>
        <w:t>.</w:t>
      </w:r>
    </w:p>
    <w:p w14:paraId="76FCB87A" w14:textId="2A86A76D" w:rsidR="003F1BFB" w:rsidRPr="007D1F3A" w:rsidRDefault="00A40363" w:rsidP="00901590">
      <w:pPr>
        <w:pStyle w:val="BodyText"/>
        <w:spacing w:before="8"/>
        <w:ind w:firstLine="426"/>
        <w:jc w:val="both"/>
        <w:rPr>
          <w:rFonts w:ascii="Calibri" w:hAnsi="Calibri" w:cs="Calibri"/>
          <w:sz w:val="22"/>
          <w:szCs w:val="22"/>
        </w:rPr>
      </w:pPr>
      <w:r w:rsidRPr="00A40363">
        <w:rPr>
          <w:rFonts w:ascii="Calibri" w:hAnsi="Calibri" w:cs="Calibri"/>
          <w:sz w:val="22"/>
        </w:rPr>
        <w:t>Currently, human development in Indonesia for the period 2010-2021 is decreasing</w:t>
      </w:r>
      <w:r w:rsidR="003F1BFB" w:rsidRPr="003F1BFB">
        <w:rPr>
          <w:rFonts w:ascii="Calibri" w:hAnsi="Calibri" w:cs="Calibri"/>
          <w:sz w:val="22"/>
        </w:rPr>
        <w:t xml:space="preserve">. The HDI in Java, Bali, is in a position above the national average. Sumatra and Kalimantan regions are in the national average position. Meanwhile, Eastern Indonesia regions such as Nusa Tenggara and Papua </w:t>
      </w:r>
      <w:r w:rsidR="003F1BFB" w:rsidRPr="003F1BFB">
        <w:rPr>
          <w:rFonts w:ascii="Calibri" w:hAnsi="Calibri" w:cs="Calibri"/>
          <w:sz w:val="22"/>
        </w:rPr>
        <w:lastRenderedPageBreak/>
        <w:t>are in a position below the Indonesian average. However, in the last few years the HDI rate has incr</w:t>
      </w:r>
      <w:r w:rsidR="00901590">
        <w:rPr>
          <w:rFonts w:ascii="Calibri" w:hAnsi="Calibri" w:cs="Calibri"/>
          <w:sz w:val="22"/>
        </w:rPr>
        <w:t xml:space="preserve">eased more rapidly </w:t>
      </w:r>
      <w:r>
        <w:rPr>
          <w:rFonts w:ascii="Calibri" w:hAnsi="Calibri" w:cs="Calibri"/>
          <w:sz w:val="22"/>
        </w:rPr>
        <w:fldChar w:fldCharType="begin" w:fldLock="1"/>
      </w:r>
      <w:r w:rsidR="00F03BA0">
        <w:rPr>
          <w:rFonts w:ascii="Calibri" w:hAnsi="Calibri" w:cs="Calibri"/>
          <w:sz w:val="22"/>
        </w:rPr>
        <w:instrText>ADDIN CSL_CITATION {"citationItems":[{"id":"ITEM-1","itemData":{"author":[{"dropping-particle":"","family":"BPS","given":"","non-dropping-particle":"","parse-names":false,"suffix":""}],"container-title":"Berita Resmi Statistik","id":"ITEM-1","issue":"87","issued":{"date-parts":[["2021","11","15"]]},"page":"1-8","publisher-place":"Jakarta","title":"Indeks Pembangunan Manusia ( IPM ) Tahun 2021","type":"article-newspaper"},"uris":["http://www.mendeley.com/documents/?uuid=ed7dc367-d5ad-423b-a08b-28eeaabe5e62"]}],"mendeley":{"formattedCitation":"(BPS, 2021)","plainTextFormattedCitation":"(BPS, 2021)","previouslyFormattedCitation":"(BPS, 2021)"},"properties":{"noteIndex":0},"schema":"https://github.com/citation-style-language/schema/raw/master/csl-citation.json"}</w:instrText>
      </w:r>
      <w:r>
        <w:rPr>
          <w:rFonts w:ascii="Calibri" w:hAnsi="Calibri" w:cs="Calibri"/>
          <w:sz w:val="22"/>
        </w:rPr>
        <w:fldChar w:fldCharType="separate"/>
      </w:r>
      <w:r w:rsidRPr="00A40363">
        <w:rPr>
          <w:rFonts w:ascii="Calibri" w:hAnsi="Calibri" w:cs="Calibri"/>
          <w:noProof/>
          <w:sz w:val="22"/>
        </w:rPr>
        <w:t>(BPS, 2021)</w:t>
      </w:r>
      <w:r>
        <w:rPr>
          <w:rFonts w:ascii="Calibri" w:hAnsi="Calibri" w:cs="Calibri"/>
          <w:sz w:val="22"/>
        </w:rPr>
        <w:fldChar w:fldCharType="end"/>
      </w:r>
      <w:r w:rsidR="00901590">
        <w:rPr>
          <w:rFonts w:ascii="Calibri" w:hAnsi="Calibri" w:cs="Calibri"/>
          <w:sz w:val="22"/>
        </w:rPr>
        <w:t xml:space="preserve">. </w:t>
      </w:r>
      <w:r w:rsidR="003F1BFB" w:rsidRPr="003F1BFB">
        <w:rPr>
          <w:rFonts w:ascii="Calibri" w:hAnsi="Calibri" w:cs="Calibri"/>
          <w:sz w:val="22"/>
        </w:rPr>
        <w:t xml:space="preserve">Although there has been an increase in which HDI has increased rapidly over the last few years, based on BPS data, the distribution of HDI figures in Indonesia has not been evenly distributed in 34 provinces in Indonesia. Inequality creates inequality in the welfare of the Indonesian people. When the community does not feel prosperous, it shows that the development goals of a region have not been achieved </w:t>
      </w:r>
      <w:r w:rsidR="00A1701D" w:rsidRPr="007D1F3A">
        <w:rPr>
          <w:rFonts w:ascii="Calibri" w:hAnsi="Calibri" w:cs="Calibri"/>
          <w:sz w:val="22"/>
          <w:szCs w:val="22"/>
        </w:rPr>
        <w:fldChar w:fldCharType="begin" w:fldLock="1"/>
      </w:r>
      <w:r w:rsidR="007D1F3A" w:rsidRPr="007D1F3A">
        <w:rPr>
          <w:rFonts w:ascii="Calibri" w:hAnsi="Calibri" w:cs="Calibri"/>
          <w:sz w:val="22"/>
          <w:szCs w:val="22"/>
        </w:rPr>
        <w:instrText>ADDIN CSL_CITATION {"citationItems":[{"id":"ITEM-1","itemData":{"DOI":"10.24034/j25485024.y2014.v18.i4.2162","ISSN":"2548-298X","abstract":"Human Development Index (HDI) is an index established by UNDP in 1996 to measure the well-being of society. Indonesian HDI increased during the period of 2008-2012; however, there is high variation among 33 provinces. Its position in the world is still below the average (121 of 187 countries) and ranks 5th among ASEAN countries (UNDP, 2013). Based on this phenomenon this study tries to analyze the determinants of HDI which include GDP, dependency ratio, household consumption for food, government budget for education, and the budget for health. The results indicate that GDP and government budget for health have positive effect on HDI, whereas dependency ratio and household consumption for food have negative effect. However, the budget for education has no effect on HDI. HDI is an important indicator of development; therefore, the government and the society should take efforts to improve the HDI. Economic growth, income distribution, population control, poverty alleviation, as well as improvement in health services and education are needed in order to improve the HDI.","author":[{"dropping-particle":"","family":"Bhakti","given":"Nadia Ayu","non-dropping-particle":"","parse-names":false,"suffix":""},{"dropping-particle":"","family":"Istiqomah","given":"Istiqomah","non-dropping-particle":"","parse-names":false,"suffix":""},{"dropping-particle":"","family":"Suprapto","given":"Suprapto","non-dropping-particle":"","parse-names":false,"suffix":""}],"container-title":"EKUITAS (Jurnal Ekonomi dan Keuangan)","id":"ITEM-1","issue":"4","issued":{"date-parts":[["2014"]]},"page":"452-469","title":"Analisis Faktor-Faktor Yang Mempengaruhi Indeks Pembangunan Manusia Di Indonesia Periode 2008-2012","type":"article-journal","volume":"18"},"uris":["http://www.mendeley.com/documents/?uuid=3839b8df-13c0-4094-b90f-03e61c948afd"]}],"mendeley":{"formattedCitation":"(Bhakti, Istiqomah, &amp; Suprapto, 2014)","plainTextFormattedCitation":"(Bhakti, Istiqomah, &amp; Suprapto, 2014)","previouslyFormattedCitation":"(Bhakti, Istiqomah, &amp; Suprapto, 2014)"},"properties":{"noteIndex":0},"schema":"https://github.com/citation-style-language/schema/raw/master/csl-citation.json"}</w:instrText>
      </w:r>
      <w:r w:rsidR="00A1701D" w:rsidRPr="007D1F3A">
        <w:rPr>
          <w:rFonts w:ascii="Calibri" w:hAnsi="Calibri" w:cs="Calibri"/>
          <w:sz w:val="22"/>
          <w:szCs w:val="22"/>
        </w:rPr>
        <w:fldChar w:fldCharType="separate"/>
      </w:r>
      <w:r w:rsidR="007D1F3A" w:rsidRPr="007D1F3A">
        <w:rPr>
          <w:rFonts w:ascii="Calibri" w:hAnsi="Calibri" w:cs="Calibri"/>
          <w:noProof/>
          <w:sz w:val="22"/>
          <w:szCs w:val="22"/>
        </w:rPr>
        <w:t>(Bhakti, Istiqomah, &amp; Suprapto, 2014)</w:t>
      </w:r>
      <w:r w:rsidR="00A1701D" w:rsidRPr="007D1F3A">
        <w:rPr>
          <w:rFonts w:ascii="Calibri" w:hAnsi="Calibri" w:cs="Calibri"/>
          <w:sz w:val="22"/>
          <w:szCs w:val="22"/>
        </w:rPr>
        <w:fldChar w:fldCharType="end"/>
      </w:r>
      <w:r w:rsidR="003F1BFB" w:rsidRPr="007D1F3A">
        <w:rPr>
          <w:rFonts w:ascii="Calibri" w:hAnsi="Calibri" w:cs="Calibri"/>
          <w:sz w:val="22"/>
          <w:szCs w:val="22"/>
        </w:rPr>
        <w:t>.</w:t>
      </w:r>
    </w:p>
    <w:p w14:paraId="583E173B" w14:textId="77777777" w:rsidR="003F1BFB" w:rsidRPr="003F1BFB" w:rsidRDefault="002D630F" w:rsidP="00901590">
      <w:pPr>
        <w:pStyle w:val="BodyText"/>
        <w:spacing w:before="8"/>
        <w:ind w:firstLine="426"/>
        <w:jc w:val="both"/>
        <w:rPr>
          <w:rFonts w:ascii="Calibri" w:hAnsi="Calibri" w:cs="Calibri"/>
          <w:sz w:val="22"/>
        </w:rPr>
      </w:pPr>
      <w:r w:rsidRPr="002D630F">
        <w:rPr>
          <w:rFonts w:ascii="Calibri" w:hAnsi="Calibri" w:cs="Calibri"/>
          <w:sz w:val="22"/>
        </w:rPr>
        <w:t xml:space="preserve">Inequality of development can also show the difference in the state of education development between eastern and western Indonesia which is clearly </w:t>
      </w:r>
      <w:r>
        <w:rPr>
          <w:rFonts w:ascii="Calibri" w:hAnsi="Calibri" w:cs="Calibri"/>
          <w:sz w:val="22"/>
        </w:rPr>
        <w:t>visible</w:t>
      </w:r>
      <w:r w:rsidR="003F1BFB" w:rsidRPr="003F1BFB">
        <w:rPr>
          <w:rFonts w:ascii="Calibri" w:hAnsi="Calibri" w:cs="Calibri"/>
          <w:sz w:val="22"/>
        </w:rPr>
        <w:t xml:space="preserve">. Access to education in providing educational facilities and infrastructure in eastern Indonesia is not as fast and smooth as in western Indonesia. Weak education will affect the level of productivity which has an impact on the low income of the community </w:t>
      </w:r>
      <w:r w:rsidR="00A1701D" w:rsidRPr="007D1F3A">
        <w:rPr>
          <w:rFonts w:ascii="Calibri" w:hAnsi="Calibri" w:cs="Calibri"/>
          <w:sz w:val="22"/>
        </w:rPr>
        <w:fldChar w:fldCharType="begin" w:fldLock="1"/>
      </w:r>
      <w:r w:rsidR="007D1F3A" w:rsidRPr="007D1F3A">
        <w:rPr>
          <w:rFonts w:ascii="Calibri" w:hAnsi="Calibri" w:cs="Calibri"/>
          <w:sz w:val="22"/>
        </w:rPr>
        <w:instrText>ADDIN CSL_CITATION {"citationItems":[{"id":"ITEM-1","itemData":{"DOI":"10.15642/mantik.2018.4.1.32-41","ISSN":"2527-3159","abstract":"Human Development Index (HDI) is one of the data and information used by the local government to measure the achievement of human development with the basic components of quality of life that is life expectancy that represents health dimension, expected years of schooling (EYS) and mean years of schooling (MYS) represents the educational dimension, and purchasing power parity that represents decent living dimension. HDI especially in eastern Indonesia in the last three years has continued to increase but the figure is always below from the national figure even left behind if compared with West Indonesia. One dimension that is still low achievement is the educational dimension. EYS is one of the indicators on the educational dimension that is still a low achievement. Therefore, this research would like to know the influence of percentage of poor people, Gross Regional Domestic Product (GRDP) per capita, net enrollment rate (NER) of junior high school, and a ratio of educational facilities to EYS in eastern Indonesia. Using Weighted Least Squares (WLS) method concluded that the four predictor variables used were able to influence EYS in Eastern Indonesia.","author":[{"dropping-particle":"","family":"Kahar","given":"Arifin M","non-dropping-particle":"","parse-names":false,"suffix":""}],"container-title":"Jurnal Matematika \"MANTIK\"","id":"ITEM-1","issue":"1","issued":{"date-parts":[["2018"]]},"page":"32-41","title":"Analisis Angka Harapan Lama Sekolah di Indonesia Timur Menggunakan Weighted Least Squares Regression","type":"article-journal","volume":"4"},"uris":["http://www.mendeley.com/documents/?uuid=ac84c439-1252-405a-ae12-29f27ace279b"]}],"mendeley":{"formattedCitation":"(Kahar, 2018)","plainTextFormattedCitation":"(Kahar, 2018)","previouslyFormattedCitation":"(Kahar, 2018)"},"properties":{"noteIndex":0},"schema":"https://github.com/citation-style-language/schema/raw/master/csl-citation.json"}</w:instrText>
      </w:r>
      <w:r w:rsidR="00A1701D" w:rsidRPr="007D1F3A">
        <w:rPr>
          <w:rFonts w:ascii="Calibri" w:hAnsi="Calibri" w:cs="Calibri"/>
          <w:sz w:val="22"/>
        </w:rPr>
        <w:fldChar w:fldCharType="separate"/>
      </w:r>
      <w:r w:rsidR="007D1F3A" w:rsidRPr="007D1F3A">
        <w:rPr>
          <w:rFonts w:ascii="Calibri" w:hAnsi="Calibri" w:cs="Calibri"/>
          <w:noProof/>
          <w:sz w:val="22"/>
        </w:rPr>
        <w:t>(Kahar, 2018)</w:t>
      </w:r>
      <w:r w:rsidR="00A1701D" w:rsidRPr="007D1F3A">
        <w:rPr>
          <w:rFonts w:ascii="Calibri" w:hAnsi="Calibri" w:cs="Calibri"/>
          <w:sz w:val="22"/>
        </w:rPr>
        <w:fldChar w:fldCharType="end"/>
      </w:r>
      <w:r w:rsidR="003F1BFB" w:rsidRPr="003F1BFB">
        <w:rPr>
          <w:rFonts w:ascii="Calibri" w:hAnsi="Calibri" w:cs="Calibri"/>
          <w:sz w:val="22"/>
        </w:rPr>
        <w:t xml:space="preserve">. In the HDI per province on the island of Sumatra in 2010 – 2019. The highest average HDI among provinces on the island of Sumatra was obtained by the Riau Islands with a score of 73.60. While the lowest average was obtained by the province of Lampung with a value of 66.91. Jambi Province achieved an average HDI score of 68.74, ranking 7th out of 10 provinces on the island of Sumatra. If we calculate the average HDI per province on the island of Sumatra, we get a value of 69.40. </w:t>
      </w:r>
      <w:r w:rsidR="00540C99">
        <w:rPr>
          <w:rFonts w:ascii="Calibri" w:hAnsi="Calibri" w:cs="Calibri"/>
          <w:sz w:val="22"/>
        </w:rPr>
        <w:t xml:space="preserve">Based on that, </w:t>
      </w:r>
      <w:r w:rsidR="003F1BFB" w:rsidRPr="003F1BFB">
        <w:rPr>
          <w:rFonts w:ascii="Calibri" w:hAnsi="Calibri" w:cs="Calibri"/>
          <w:sz w:val="22"/>
        </w:rPr>
        <w:t xml:space="preserve">Jambi province is still below the average HDI for the island of Sumatra and the HDI for Indonesia </w:t>
      </w:r>
      <w:r w:rsidR="00A1701D" w:rsidRPr="007D1F3A">
        <w:rPr>
          <w:rFonts w:ascii="Calibri" w:hAnsi="Calibri" w:cs="Calibri"/>
          <w:sz w:val="22"/>
        </w:rPr>
        <w:fldChar w:fldCharType="begin" w:fldLock="1"/>
      </w:r>
      <w:r w:rsidR="007D1F3A" w:rsidRPr="007D1F3A">
        <w:rPr>
          <w:rFonts w:ascii="Calibri" w:hAnsi="Calibri" w:cs="Calibri"/>
          <w:sz w:val="22"/>
        </w:rPr>
        <w:instrText>ADDIN CSL_CITATION {"citationItems":[{"id":"ITEM-1","itemData":{"URL":"https://www.bps.go.id/dynamictable/2020/02/18/1772/indeks-pembangunan-manusia-menurut-provinsi-metode-baru-2010-2019.html","accessed":{"date-parts":[["2021","5","5"]]},"author":[{"dropping-particle":"","family":"BPS","given":"","non-dropping-particle":"","parse-names":false,"suffix":""}],"id":"ITEM-1","issued":{"date-parts":[["2020"]]},"title":"Indeks Pembangunan Manusia Menurut Provinsi 2010-2019","type":"webpage"},"uris":["http://www.mendeley.com/documents/?uuid=5ceeae2d-f0af-430e-b13a-607104e33ceb"]}],"mendeley":{"formattedCitation":"(BPS, 2020)","plainTextFormattedCitation":"(BPS, 2020)","previouslyFormattedCitation":"(BPS, 2020)"},"properties":{"noteIndex":0},"schema":"https://github.com/citation-style-language/schema/raw/master/csl-citation.json"}</w:instrText>
      </w:r>
      <w:r w:rsidR="00A1701D" w:rsidRPr="007D1F3A">
        <w:rPr>
          <w:rFonts w:ascii="Calibri" w:hAnsi="Calibri" w:cs="Calibri"/>
          <w:sz w:val="22"/>
        </w:rPr>
        <w:fldChar w:fldCharType="separate"/>
      </w:r>
      <w:r w:rsidR="007D1F3A" w:rsidRPr="007D1F3A">
        <w:rPr>
          <w:rFonts w:ascii="Calibri" w:hAnsi="Calibri" w:cs="Calibri"/>
          <w:noProof/>
          <w:sz w:val="22"/>
        </w:rPr>
        <w:t>(BPS, 2020)</w:t>
      </w:r>
      <w:r w:rsidR="00A1701D" w:rsidRPr="007D1F3A">
        <w:rPr>
          <w:rFonts w:ascii="Calibri" w:hAnsi="Calibri" w:cs="Calibri"/>
          <w:sz w:val="22"/>
        </w:rPr>
        <w:fldChar w:fldCharType="end"/>
      </w:r>
      <w:r w:rsidR="007D1F3A" w:rsidRPr="007D1F3A">
        <w:rPr>
          <w:rFonts w:ascii="Calibri" w:hAnsi="Calibri" w:cs="Calibri"/>
          <w:sz w:val="22"/>
        </w:rPr>
        <w:t>.</w:t>
      </w:r>
    </w:p>
    <w:p w14:paraId="610E1676" w14:textId="3195E29F" w:rsidR="003F1BFB" w:rsidRPr="007D1F3A" w:rsidRDefault="003F1BFB" w:rsidP="002D630F">
      <w:pPr>
        <w:pStyle w:val="BodyText"/>
        <w:ind w:right="10" w:firstLine="284"/>
        <w:jc w:val="both"/>
        <w:rPr>
          <w:rFonts w:ascii="Calibri" w:hAnsi="Calibri" w:cs="Calibri"/>
          <w:sz w:val="22"/>
          <w:szCs w:val="22"/>
        </w:rPr>
      </w:pPr>
      <w:r w:rsidRPr="007D1F3A">
        <w:rPr>
          <w:rFonts w:ascii="Calibri" w:hAnsi="Calibri" w:cs="Calibri"/>
          <w:sz w:val="22"/>
          <w:szCs w:val="22"/>
        </w:rPr>
        <w:t xml:space="preserve">Jambi Province consists of 9 regencies and 2 cities, namely: </w:t>
      </w:r>
      <w:proofErr w:type="spellStart"/>
      <w:r w:rsidRPr="007D1F3A">
        <w:rPr>
          <w:rFonts w:ascii="Calibri" w:hAnsi="Calibri" w:cs="Calibri"/>
          <w:sz w:val="22"/>
          <w:szCs w:val="22"/>
        </w:rPr>
        <w:t>Kerinci</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Merangin</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Sarolangun</w:t>
      </w:r>
      <w:proofErr w:type="spellEnd"/>
      <w:r w:rsidRPr="007D1F3A">
        <w:rPr>
          <w:rFonts w:ascii="Calibri" w:hAnsi="Calibri" w:cs="Calibri"/>
          <w:sz w:val="22"/>
          <w:szCs w:val="22"/>
        </w:rPr>
        <w:t xml:space="preserve">, Batanghari, </w:t>
      </w:r>
      <w:proofErr w:type="spellStart"/>
      <w:r w:rsidRPr="007D1F3A">
        <w:rPr>
          <w:rFonts w:ascii="Calibri" w:hAnsi="Calibri" w:cs="Calibri"/>
          <w:sz w:val="22"/>
          <w:szCs w:val="22"/>
        </w:rPr>
        <w:t>Muaro</w:t>
      </w:r>
      <w:proofErr w:type="spellEnd"/>
      <w:r w:rsidRPr="007D1F3A">
        <w:rPr>
          <w:rFonts w:ascii="Calibri" w:hAnsi="Calibri" w:cs="Calibri"/>
          <w:sz w:val="22"/>
          <w:szCs w:val="22"/>
        </w:rPr>
        <w:t xml:space="preserve"> Jambi, East </w:t>
      </w:r>
      <w:proofErr w:type="spellStart"/>
      <w:r w:rsidRPr="007D1F3A">
        <w:rPr>
          <w:rFonts w:ascii="Calibri" w:hAnsi="Calibri" w:cs="Calibri"/>
          <w:sz w:val="22"/>
          <w:szCs w:val="22"/>
        </w:rPr>
        <w:t>Tanjung</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Jabung</w:t>
      </w:r>
      <w:proofErr w:type="spellEnd"/>
      <w:r w:rsidRPr="007D1F3A">
        <w:rPr>
          <w:rFonts w:ascii="Calibri" w:hAnsi="Calibri" w:cs="Calibri"/>
          <w:sz w:val="22"/>
          <w:szCs w:val="22"/>
        </w:rPr>
        <w:t xml:space="preserve">, West </w:t>
      </w:r>
      <w:proofErr w:type="spellStart"/>
      <w:r w:rsidRPr="007D1F3A">
        <w:rPr>
          <w:rFonts w:ascii="Calibri" w:hAnsi="Calibri" w:cs="Calibri"/>
          <w:sz w:val="22"/>
          <w:szCs w:val="22"/>
        </w:rPr>
        <w:t>Tanjung</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Jabung</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Tebo</w:t>
      </w:r>
      <w:proofErr w:type="spellEnd"/>
      <w:r w:rsidRPr="007D1F3A">
        <w:rPr>
          <w:rFonts w:ascii="Calibri" w:hAnsi="Calibri" w:cs="Calibri"/>
          <w:sz w:val="22"/>
          <w:szCs w:val="22"/>
        </w:rPr>
        <w:t xml:space="preserve">, Bungo, Jambi City and Sungai </w:t>
      </w:r>
      <w:proofErr w:type="spellStart"/>
      <w:r w:rsidRPr="007D1F3A">
        <w:rPr>
          <w:rFonts w:ascii="Calibri" w:hAnsi="Calibri" w:cs="Calibri"/>
          <w:sz w:val="22"/>
          <w:szCs w:val="22"/>
        </w:rPr>
        <w:t>Penuh</w:t>
      </w:r>
      <w:proofErr w:type="spellEnd"/>
      <w:r w:rsidRPr="007D1F3A">
        <w:rPr>
          <w:rFonts w:ascii="Calibri" w:hAnsi="Calibri" w:cs="Calibri"/>
          <w:sz w:val="22"/>
          <w:szCs w:val="22"/>
        </w:rPr>
        <w:t xml:space="preserve"> City with different HDI values. Based on BPS data, the highest HDI value is concentrated in Jambi City, followed by Sungai </w:t>
      </w:r>
      <w:proofErr w:type="spellStart"/>
      <w:r w:rsidRPr="007D1F3A">
        <w:rPr>
          <w:rFonts w:ascii="Calibri" w:hAnsi="Calibri" w:cs="Calibri"/>
          <w:sz w:val="22"/>
          <w:szCs w:val="22"/>
        </w:rPr>
        <w:t>Penuh</w:t>
      </w:r>
      <w:proofErr w:type="spellEnd"/>
      <w:r w:rsidRPr="007D1F3A">
        <w:rPr>
          <w:rFonts w:ascii="Calibri" w:hAnsi="Calibri" w:cs="Calibri"/>
          <w:sz w:val="22"/>
          <w:szCs w:val="22"/>
        </w:rPr>
        <w:t xml:space="preserve"> City from 2010-2020 with an average HDI value for 9 years of 75.50 and 72.91 which is included in the category of high HDI level. Other districts achieved an average HDI score for a period of 9 years less than 70.00 with the lowest average score of 60.93 by </w:t>
      </w:r>
      <w:proofErr w:type="spellStart"/>
      <w:r w:rsidRPr="007D1F3A">
        <w:rPr>
          <w:rFonts w:ascii="Calibri" w:hAnsi="Calibri" w:cs="Calibri"/>
          <w:sz w:val="22"/>
          <w:szCs w:val="22"/>
        </w:rPr>
        <w:t>Tanjung</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Jabung</w:t>
      </w:r>
      <w:proofErr w:type="spellEnd"/>
      <w:r w:rsidRPr="007D1F3A">
        <w:rPr>
          <w:rFonts w:ascii="Calibri" w:hAnsi="Calibri" w:cs="Calibri"/>
          <w:sz w:val="22"/>
          <w:szCs w:val="22"/>
        </w:rPr>
        <w:t xml:space="preserve"> Timur Regency which was almost in the category of low HDI lev</w:t>
      </w:r>
      <w:r w:rsidR="00901590" w:rsidRPr="007D1F3A">
        <w:rPr>
          <w:rFonts w:ascii="Calibri" w:hAnsi="Calibri" w:cs="Calibri"/>
          <w:sz w:val="22"/>
          <w:szCs w:val="22"/>
        </w:rPr>
        <w:t xml:space="preserve">el </w:t>
      </w:r>
      <w:r w:rsidR="00A1701D" w:rsidRPr="007D1F3A">
        <w:rPr>
          <w:rFonts w:ascii="Calibri" w:hAnsi="Calibri" w:cs="Calibri"/>
          <w:sz w:val="22"/>
          <w:szCs w:val="22"/>
        </w:rPr>
        <w:fldChar w:fldCharType="begin" w:fldLock="1"/>
      </w:r>
      <w:r w:rsidR="007D1F3A" w:rsidRPr="007D1F3A">
        <w:rPr>
          <w:rFonts w:ascii="Calibri" w:hAnsi="Calibri" w:cs="Calibri"/>
          <w:sz w:val="22"/>
          <w:szCs w:val="22"/>
        </w:rPr>
        <w:instrText>ADDIN CSL_CITATION {"citationItems":[{"id":"ITEM-1","itemData":{"author":[{"dropping-particle":"","family":"BPS Provinsi Jambi","given":"","non-dropping-particle":"","parse-names":false,"suffix":""}],"id":"ITEM-1","issued":{"date-parts":[["2020"]]},"number-of-pages":"1-613","publisher":"Badan Pusat Statistik Provinsi Jambi","publisher-place":"Jambi","title":"Provinsi Jambi Dalam Angka 2020","type":"report"},"uris":["http://www.mendeley.com/documents/?uuid=33431d7f-eaeb-4d69-9564-497cad934bba"]}],"mendeley":{"formattedCitation":"(BPS Provinsi Jambi, 2020b)","plainTextFormattedCitation":"(BPS Provinsi Jambi, 2020b)","previouslyFormattedCitation":"(BPS Provinsi Jambi, 2020b)"},"properties":{"noteIndex":0},"schema":"https://github.com/citation-style-language/schema/raw/master/csl-citation.json"}</w:instrText>
      </w:r>
      <w:r w:rsidR="00A1701D" w:rsidRPr="007D1F3A">
        <w:rPr>
          <w:rFonts w:ascii="Calibri" w:hAnsi="Calibri" w:cs="Calibri"/>
          <w:sz w:val="22"/>
          <w:szCs w:val="22"/>
        </w:rPr>
        <w:fldChar w:fldCharType="separate"/>
      </w:r>
      <w:r w:rsidR="007D1F3A" w:rsidRPr="007D1F3A">
        <w:rPr>
          <w:rFonts w:ascii="Calibri" w:hAnsi="Calibri" w:cs="Calibri"/>
          <w:noProof/>
          <w:sz w:val="22"/>
          <w:szCs w:val="22"/>
        </w:rPr>
        <w:t>(BPS Provinsi Jambi, 2020b)</w:t>
      </w:r>
      <w:r w:rsidR="00A1701D" w:rsidRPr="007D1F3A">
        <w:rPr>
          <w:rFonts w:ascii="Calibri" w:hAnsi="Calibri" w:cs="Calibri"/>
          <w:sz w:val="22"/>
          <w:szCs w:val="22"/>
        </w:rPr>
        <w:fldChar w:fldCharType="end"/>
      </w:r>
      <w:r w:rsidR="007D1F3A" w:rsidRPr="007D1F3A">
        <w:rPr>
          <w:rFonts w:ascii="Calibri" w:hAnsi="Calibri" w:cs="Calibri"/>
          <w:sz w:val="22"/>
          <w:szCs w:val="22"/>
        </w:rPr>
        <w:t xml:space="preserve">. </w:t>
      </w:r>
      <w:proofErr w:type="spellStart"/>
      <w:r w:rsidRPr="007D1F3A">
        <w:rPr>
          <w:rFonts w:ascii="Calibri" w:hAnsi="Calibri" w:cs="Calibri"/>
          <w:sz w:val="22"/>
          <w:szCs w:val="22"/>
        </w:rPr>
        <w:t>Tanjung</w:t>
      </w:r>
      <w:proofErr w:type="spellEnd"/>
      <w:r w:rsidRPr="007D1F3A">
        <w:rPr>
          <w:rFonts w:ascii="Calibri" w:hAnsi="Calibri" w:cs="Calibri"/>
          <w:sz w:val="22"/>
          <w:szCs w:val="22"/>
        </w:rPr>
        <w:t xml:space="preserve"> </w:t>
      </w:r>
      <w:proofErr w:type="spellStart"/>
      <w:r w:rsidRPr="007D1F3A">
        <w:rPr>
          <w:rFonts w:ascii="Calibri" w:hAnsi="Calibri" w:cs="Calibri"/>
          <w:sz w:val="22"/>
          <w:szCs w:val="22"/>
        </w:rPr>
        <w:t>Jabung</w:t>
      </w:r>
      <w:proofErr w:type="spellEnd"/>
      <w:r w:rsidR="00120A27" w:rsidRPr="007D1F3A">
        <w:rPr>
          <w:rFonts w:ascii="Calibri" w:hAnsi="Calibri" w:cs="Calibri"/>
          <w:sz w:val="22"/>
          <w:szCs w:val="22"/>
        </w:rPr>
        <w:t xml:space="preserve"> Timur</w:t>
      </w:r>
      <w:r w:rsidRPr="007D1F3A">
        <w:rPr>
          <w:rFonts w:ascii="Calibri" w:hAnsi="Calibri" w:cs="Calibri"/>
          <w:sz w:val="22"/>
          <w:szCs w:val="22"/>
        </w:rPr>
        <w:t xml:space="preserve"> Regency has the lowest access to education. </w:t>
      </w:r>
      <w:proofErr w:type="spellStart"/>
      <w:r w:rsidRPr="007D1F3A">
        <w:rPr>
          <w:rFonts w:ascii="Calibri" w:hAnsi="Calibri" w:cs="Calibri"/>
          <w:sz w:val="22"/>
          <w:szCs w:val="22"/>
        </w:rPr>
        <w:t>Kerinci</w:t>
      </w:r>
      <w:proofErr w:type="spellEnd"/>
      <w:r w:rsidRPr="007D1F3A">
        <w:rPr>
          <w:rFonts w:ascii="Calibri" w:hAnsi="Calibri" w:cs="Calibri"/>
          <w:sz w:val="22"/>
          <w:szCs w:val="22"/>
        </w:rPr>
        <w:t xml:space="preserve"> Regency and Sungai </w:t>
      </w:r>
      <w:proofErr w:type="spellStart"/>
      <w:r w:rsidRPr="007D1F3A">
        <w:rPr>
          <w:rFonts w:ascii="Calibri" w:hAnsi="Calibri" w:cs="Calibri"/>
          <w:sz w:val="22"/>
          <w:szCs w:val="22"/>
        </w:rPr>
        <w:t>Penuh</w:t>
      </w:r>
      <w:proofErr w:type="spellEnd"/>
      <w:r w:rsidRPr="007D1F3A">
        <w:rPr>
          <w:rFonts w:ascii="Calibri" w:hAnsi="Calibri" w:cs="Calibri"/>
          <w:sz w:val="22"/>
          <w:szCs w:val="22"/>
        </w:rPr>
        <w:t xml:space="preserve"> City rank the highest in educational attainment in Jambi province </w:t>
      </w:r>
      <w:r w:rsidR="00A1701D" w:rsidRPr="007D1F3A">
        <w:rPr>
          <w:rFonts w:ascii="Calibri" w:hAnsi="Calibri" w:cs="Calibri"/>
          <w:sz w:val="22"/>
          <w:szCs w:val="22"/>
        </w:rPr>
        <w:fldChar w:fldCharType="begin" w:fldLock="1"/>
      </w:r>
      <w:r w:rsidR="007D1F3A" w:rsidRPr="007D1F3A">
        <w:rPr>
          <w:rFonts w:ascii="Calibri" w:hAnsi="Calibri" w:cs="Calibri"/>
          <w:sz w:val="22"/>
          <w:szCs w:val="22"/>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2020a)","plainTextFormattedCitation":"(BPS Provinsi Jambi, 2020a)","previouslyFormattedCitation":"(BPS Provinsi Jambi, 2020a)"},"properties":{"noteIndex":0},"schema":"https://github.com/citation-style-language/schema/raw/master/csl-citation.json"}</w:instrText>
      </w:r>
      <w:r w:rsidR="00A1701D" w:rsidRPr="007D1F3A">
        <w:rPr>
          <w:rFonts w:ascii="Calibri" w:hAnsi="Calibri" w:cs="Calibri"/>
          <w:sz w:val="22"/>
          <w:szCs w:val="22"/>
        </w:rPr>
        <w:fldChar w:fldCharType="separate"/>
      </w:r>
      <w:r w:rsidR="007D1F3A" w:rsidRPr="007D1F3A">
        <w:rPr>
          <w:rFonts w:ascii="Calibri" w:hAnsi="Calibri" w:cs="Calibri"/>
          <w:noProof/>
          <w:sz w:val="22"/>
          <w:szCs w:val="22"/>
        </w:rPr>
        <w:t>(BPS Provinsi Jambi, 2020a)</w:t>
      </w:r>
      <w:r w:rsidR="00A1701D" w:rsidRPr="007D1F3A">
        <w:rPr>
          <w:rFonts w:ascii="Calibri" w:hAnsi="Calibri" w:cs="Calibri"/>
          <w:sz w:val="22"/>
          <w:szCs w:val="22"/>
        </w:rPr>
        <w:fldChar w:fldCharType="end"/>
      </w:r>
      <w:r w:rsidR="007D1F3A" w:rsidRPr="007D1F3A">
        <w:rPr>
          <w:rFonts w:ascii="Calibri" w:hAnsi="Calibri" w:cs="Calibri"/>
          <w:sz w:val="22"/>
          <w:szCs w:val="22"/>
        </w:rPr>
        <w:t>.</w:t>
      </w:r>
      <w:r w:rsidRPr="007D1F3A">
        <w:rPr>
          <w:rFonts w:ascii="Calibri" w:hAnsi="Calibri" w:cs="Calibri"/>
          <w:sz w:val="22"/>
          <w:szCs w:val="22"/>
        </w:rPr>
        <w:t xml:space="preserve"> This is because low income levels result in people not being able to meet their basic needs and improve their quality of life such as health and education</w:t>
      </w:r>
      <w:r w:rsidR="00132C66">
        <w:rPr>
          <w:rFonts w:ascii="Calibri" w:hAnsi="Calibri" w:cs="Calibri"/>
          <w:sz w:val="22"/>
          <w:szCs w:val="22"/>
        </w:rPr>
        <w:t xml:space="preserve"> </w:t>
      </w:r>
      <w:r w:rsidR="00A1701D" w:rsidRPr="007D1F3A">
        <w:rPr>
          <w:rFonts w:ascii="Calibri" w:hAnsi="Calibri" w:cs="Calibri"/>
          <w:sz w:val="22"/>
          <w:szCs w:val="22"/>
        </w:rPr>
        <w:fldChar w:fldCharType="begin" w:fldLock="1"/>
      </w:r>
      <w:r w:rsidR="007D1F3A" w:rsidRPr="007D1F3A">
        <w:rPr>
          <w:rFonts w:ascii="Calibri" w:hAnsi="Calibri" w:cs="Calibri"/>
          <w:sz w:val="22"/>
          <w:szCs w:val="22"/>
        </w:rPr>
        <w:instrText>ADDIN CSL_CITATION {"citationItems":[{"id":"ITEM-1","itemData":{"DOI":"10.35448/jequ.v9i1.5436","ISSN":"2089-4473","abstract":"Tujuan penelitian adalah untuk mengetahui pengaruh Indeks Pembangunan Manusia (IPM) investasi dan Upah Minimum Kabupaten/kota (UMK) terhadap tingkat pengangguran di Provinsi Banten dan untuk mengetahui pengaruh Indeks Pembangunan Manusia (IPM), investasi dan Upah Minimum Kabupaten/kota (UMK) secara bersama-sama terhadap tingkat pengangguran di Provinsi Banten. Metode yang digunakan pada penelitian ini yaitu metode analisis data panel dengan pendekatan Fixed Effect Model. Hasil analisis data panel pada menunjukkan bahwa variabel Indeks Pembangunan Manusia (IPM) berpengaruh signifikan dan negatif pada taraf 5% terhadap tingkat pengangguran, variabel investasi berpengaruh negatif dan signifikan pada taraf 5% terhadap tingkat pengangguran, Upah Minimum Kabupaten/kota (UMK) berpengaruh negatif dan signifikan pada taraf 5% terhadap tingkat pengangguran dan secara bersama-sama variabel Indeks Pembangunan Manusia (IPM), investasi dan Upah Minimum Kabupaten/kota (UMK) berpengaruh signifikan terhadap tingkat pengangguran di Provinsi Banten.","author":[{"dropping-particle":"","family":"Mahroji","given":"Dwi","non-dropping-particle":"","parse-names":false,"suffix":""},{"dropping-particle":"","family":"Nurkhasanah","given":"Iin","non-dropping-particle":"","parse-names":false,"suffix":""}],"container-title":"Jurnal Ilmu Ekonomi","id":"ITEM-1","issue":"1","issued":{"date-parts":[["2019"]]},"page":"51-72","title":"Pengaruh Indeks Pembangunan Manusia Terhadap Tingkat Pengangguran di Provinsi Banten","type":"article-journal","volume":"9"},"uris":["http://www.mendeley.com/documents/?uuid=d56f3018-cdc5-4186-b9dc-8db3fe4cee44"]}],"mendeley":{"formattedCitation":"(Mahroji &amp; Nurkhasanah, 2019)","plainTextFormattedCitation":"(Mahroji &amp; Nurkhasanah, 2019)","previouslyFormattedCitation":"(Mahroji &amp; Nurkhasanah, 2019)"},"properties":{"noteIndex":0},"schema":"https://github.com/citation-style-language/schema/raw/master/csl-citation.json"}</w:instrText>
      </w:r>
      <w:r w:rsidR="00A1701D" w:rsidRPr="007D1F3A">
        <w:rPr>
          <w:rFonts w:ascii="Calibri" w:hAnsi="Calibri" w:cs="Calibri"/>
          <w:sz w:val="22"/>
          <w:szCs w:val="22"/>
        </w:rPr>
        <w:fldChar w:fldCharType="separate"/>
      </w:r>
      <w:r w:rsidR="007D1F3A" w:rsidRPr="007D1F3A">
        <w:rPr>
          <w:rFonts w:ascii="Calibri" w:hAnsi="Calibri" w:cs="Calibri"/>
          <w:noProof/>
          <w:sz w:val="22"/>
          <w:szCs w:val="22"/>
        </w:rPr>
        <w:t>(Mahroji &amp; Nurkhasanah, 2019)</w:t>
      </w:r>
      <w:r w:rsidR="00A1701D" w:rsidRPr="007D1F3A">
        <w:rPr>
          <w:rFonts w:ascii="Calibri" w:hAnsi="Calibri" w:cs="Calibri"/>
          <w:sz w:val="22"/>
          <w:szCs w:val="22"/>
        </w:rPr>
        <w:fldChar w:fldCharType="end"/>
      </w:r>
      <w:r w:rsidR="007D1F3A" w:rsidRPr="007D1F3A">
        <w:rPr>
          <w:rFonts w:ascii="Calibri" w:hAnsi="Calibri" w:cs="Calibri"/>
          <w:sz w:val="22"/>
          <w:szCs w:val="22"/>
        </w:rPr>
        <w:t>.</w:t>
      </w:r>
    </w:p>
    <w:p w14:paraId="5B46C49E" w14:textId="348C6D47" w:rsidR="002D630F" w:rsidRPr="000F06F5" w:rsidRDefault="003F1BFB" w:rsidP="000F06F5">
      <w:pPr>
        <w:pStyle w:val="BodyText"/>
        <w:spacing w:before="8"/>
        <w:ind w:firstLine="426"/>
        <w:jc w:val="both"/>
        <w:rPr>
          <w:rFonts w:ascii="Calibri" w:hAnsi="Calibri" w:cs="Calibri"/>
          <w:sz w:val="22"/>
        </w:rPr>
      </w:pPr>
      <w:r w:rsidRPr="003F1BFB">
        <w:rPr>
          <w:rFonts w:ascii="Calibri" w:hAnsi="Calibri" w:cs="Calibri"/>
          <w:sz w:val="22"/>
        </w:rPr>
        <w:t>This study aims to analyze the factors that influence the human development index between regions in Jambi province. These factors are in the form of health through life expectancy indicators, education with indicators of average length of schooling and expected length of schooling, as well as economy which has indicators of per capita income. It is hoped that the research results can be used to formulate and plan government programs to improve the quality of life of the community for the better.</w:t>
      </w:r>
    </w:p>
    <w:p w14:paraId="44F1C7E6" w14:textId="77777777" w:rsidR="002D630F" w:rsidRDefault="002D630F" w:rsidP="002D630F">
      <w:pPr>
        <w:spacing w:after="120" w:line="240" w:lineRule="auto"/>
        <w:ind w:firstLine="426"/>
        <w:jc w:val="both"/>
      </w:pPr>
      <w:r w:rsidRPr="002D630F">
        <w:t>The HDI measurement is based on the factors that affect the HDI. Calculates the HDI by making the factors into an index, with maximum and minimum values. The overall HDI is then calculated by taking the geometric mean of the index which measures achievement in each factor. Since the geometric mean is used to calculate the country's HDI, any change in the maximum value for normalization will not affect the country's ranking. The minimum value will affect the comparison, so that these values can be used appropriately as subsistence values (UNDP, 2015). With the minimum and maximum values, then the HDI forming index is calculated using the equation for calculating the HDI index factor as follows:</w:t>
      </w:r>
    </w:p>
    <w:p w14:paraId="0A8EAEFB" w14:textId="77777777" w:rsidR="002D630F" w:rsidRPr="0086137F" w:rsidRDefault="0056249B" w:rsidP="002D630F">
      <w:pPr>
        <w:spacing w:after="120" w:line="240" w:lineRule="auto"/>
        <w:ind w:firstLine="426"/>
        <w:jc w:val="both"/>
        <w:rPr>
          <w:sz w:val="24"/>
        </w:rPr>
      </w:pPr>
      <m:oMathPara>
        <m:oMath>
          <m:r>
            <m:rPr>
              <m:sty m:val="p"/>
            </m:rPr>
            <w:rPr>
              <w:rFonts w:ascii="Cambria Math" w:hAnsi="Cambria Math" w:cs="Times New Roman"/>
              <w:szCs w:val="24"/>
            </w:rPr>
            <m:t xml:space="preserve">Factor Index </m:t>
          </m:r>
          <m:f>
            <m:fPr>
              <m:ctrlPr>
                <w:rPr>
                  <w:rFonts w:ascii="Cambria Math" w:hAnsi="Cambria Math" w:cs="Times New Roman"/>
                  <w:iCs/>
                  <w:szCs w:val="24"/>
                </w:rPr>
              </m:ctrlPr>
            </m:fPr>
            <m:num>
              <m:r>
                <m:rPr>
                  <m:sty m:val="p"/>
                </m:rPr>
                <w:rPr>
                  <w:rFonts w:ascii="Cambria Math" w:hAnsi="Cambria Math" w:cs="Times New Roman"/>
                  <w:szCs w:val="24"/>
                </w:rPr>
                <m:t>Actual Values-Minimum Values</m:t>
              </m:r>
            </m:num>
            <m:den>
              <m:r>
                <m:rPr>
                  <m:sty m:val="p"/>
                </m:rPr>
                <w:rPr>
                  <w:rFonts w:ascii="Cambria Math" w:hAnsi="Cambria Math" w:cs="Times New Roman"/>
                  <w:szCs w:val="24"/>
                </w:rPr>
                <m:t>Maximum Values-Minimum Values</m:t>
              </m:r>
            </m:den>
          </m:f>
        </m:oMath>
      </m:oMathPara>
    </w:p>
    <w:p w14:paraId="1EDB804B" w14:textId="77777777" w:rsidR="007D1F3A" w:rsidRDefault="007D1F3A" w:rsidP="009017C6">
      <w:pPr>
        <w:spacing w:after="0" w:line="240" w:lineRule="auto"/>
        <w:jc w:val="both"/>
        <w:rPr>
          <w:b/>
        </w:rPr>
      </w:pPr>
    </w:p>
    <w:p w14:paraId="65D57E0F" w14:textId="77777777" w:rsidR="00AA3740" w:rsidRDefault="00AA3740" w:rsidP="00AA3740">
      <w:pPr>
        <w:spacing w:after="0" w:line="240" w:lineRule="auto"/>
        <w:ind w:firstLine="426"/>
        <w:jc w:val="both"/>
      </w:pPr>
      <w:r w:rsidRPr="00AA3740">
        <w:t xml:space="preserve">The equations are applied using the actual values, the minimum and maximum observed values of a country or region. The equations are applied to each factor of health, education and income. For education the equations are applied to each sub-indicator, then the arithmetic </w:t>
      </w:r>
      <w:proofErr w:type="gramStart"/>
      <w:r w:rsidRPr="00AA3740">
        <w:t>mean</w:t>
      </w:r>
      <w:proofErr w:type="gramEnd"/>
      <w:r w:rsidRPr="00AA3740">
        <w:t xml:space="preserve"> of the two sub-indices As for income, the equation is modified to include the natural logarithm (ln) for all entries. Because the natural logarithm transformation has the effect of lowering the very high contribution of income to human development.</w:t>
      </w:r>
    </w:p>
    <w:p w14:paraId="4A51E3DC" w14:textId="77777777" w:rsidR="00AA3740" w:rsidRDefault="00AA3740" w:rsidP="00AA3740">
      <w:pPr>
        <w:spacing w:after="0" w:line="240" w:lineRule="auto"/>
        <w:ind w:firstLine="426"/>
        <w:jc w:val="both"/>
      </w:pPr>
    </w:p>
    <w:p w14:paraId="429F43AA" w14:textId="77777777" w:rsidR="00AA3740" w:rsidRPr="0086137F" w:rsidRDefault="0056249B" w:rsidP="00AA3740">
      <w:pPr>
        <w:pStyle w:val="BodyText"/>
        <w:spacing w:line="280" w:lineRule="auto"/>
        <w:ind w:right="-76" w:firstLine="120"/>
        <w:rPr>
          <w:sz w:val="22"/>
          <w:szCs w:val="22"/>
        </w:rPr>
      </w:pPr>
      <m:oMathPara>
        <m:oMath>
          <m:r>
            <m:rPr>
              <m:sty m:val="p"/>
            </m:rPr>
            <w:rPr>
              <w:rFonts w:ascii="Cambria Math" w:hAnsi="Cambria Math" w:cs="Calibri"/>
              <w:sz w:val="22"/>
              <w:szCs w:val="22"/>
            </w:rPr>
            <m:t xml:space="preserve">Factor Index </m:t>
          </m:r>
          <m:d>
            <m:dPr>
              <m:ctrlPr>
                <w:rPr>
                  <w:rFonts w:ascii="Cambria Math" w:hAnsi="Cambria Math" w:cs="Calibri"/>
                  <w:sz w:val="22"/>
                  <w:szCs w:val="22"/>
                </w:rPr>
              </m:ctrlPr>
            </m:dPr>
            <m:e>
              <m:r>
                <m:rPr>
                  <m:sty m:val="p"/>
                </m:rPr>
                <w:rPr>
                  <w:rFonts w:ascii="Cambria Math" w:hAnsi="Cambria Math" w:cs="Calibri"/>
                  <w:sz w:val="22"/>
                  <w:szCs w:val="22"/>
                </w:rPr>
                <m:t>I</m:t>
              </m:r>
            </m:e>
          </m:d>
          <m:r>
            <m:rPr>
              <m:sty m:val="p"/>
            </m:rPr>
            <w:rPr>
              <w:rFonts w:ascii="Cambria Math" w:hAnsi="Cambria Math" w:cs="Calibri"/>
              <w:sz w:val="22"/>
              <w:szCs w:val="22"/>
            </w:rPr>
            <m:t>=</m:t>
          </m:r>
          <m:f>
            <m:fPr>
              <m:ctrlPr>
                <w:rPr>
                  <w:rFonts w:ascii="Cambria Math" w:hAnsi="Cambria Math" w:cs="Calibri"/>
                  <w:iCs/>
                  <w:sz w:val="22"/>
                  <w:szCs w:val="22"/>
                </w:rPr>
              </m:ctrlPr>
            </m:fPr>
            <m:num>
              <m:r>
                <m:rPr>
                  <m:sty m:val="p"/>
                </m:rPr>
                <w:rPr>
                  <w:rFonts w:ascii="Cambria Math" w:hAnsi="Cambria Math" w:cs="Calibri"/>
                  <w:sz w:val="22"/>
                  <w:szCs w:val="22"/>
                </w:rPr>
                <m:t>ln⁡[Actual Values}-</m:t>
              </m:r>
              <m:func>
                <m:funcPr>
                  <m:ctrlPr>
                    <w:rPr>
                      <w:rFonts w:ascii="Cambria Math" w:hAnsi="Cambria Math" w:cs="Calibri"/>
                      <w:iCs/>
                      <w:sz w:val="22"/>
                      <w:szCs w:val="22"/>
                    </w:rPr>
                  </m:ctrlPr>
                </m:funcPr>
                <m:fName>
                  <m:r>
                    <m:rPr>
                      <m:sty m:val="p"/>
                    </m:rPr>
                    <w:rPr>
                      <w:rFonts w:ascii="Cambria Math" w:hAnsi="Cambria Math" w:cs="Calibri"/>
                      <w:sz w:val="22"/>
                      <w:szCs w:val="22"/>
                    </w:rPr>
                    <m:t>ln</m:t>
                  </m:r>
                </m:fName>
                <m:e>
                  <m:r>
                    <w:rPr>
                      <w:rFonts w:ascii="Cambria Math" w:hAnsi="Cambria Math" w:cs="Calibri"/>
                      <w:sz w:val="22"/>
                      <w:szCs w:val="22"/>
                    </w:rPr>
                    <m:t>[</m:t>
                  </m:r>
                </m:e>
              </m:func>
              <m:r>
                <m:rPr>
                  <m:sty m:val="p"/>
                </m:rPr>
                <w:rPr>
                  <w:rFonts w:ascii="Cambria Math" w:hAnsi="Cambria Math" w:cs="Calibri"/>
                  <w:sz w:val="22"/>
                  <w:szCs w:val="22"/>
                </w:rPr>
                <m:t xml:space="preserve">Minimum Values] </m:t>
              </m:r>
            </m:num>
            <m:den>
              <m:func>
                <m:funcPr>
                  <m:ctrlPr>
                    <w:rPr>
                      <w:rFonts w:ascii="Cambria Math" w:hAnsi="Cambria Math" w:cs="Calibri"/>
                      <w:sz w:val="22"/>
                      <w:szCs w:val="22"/>
                    </w:rPr>
                  </m:ctrlPr>
                </m:funcPr>
                <m:fName>
                  <m:r>
                    <m:rPr>
                      <m:sty m:val="p"/>
                    </m:rPr>
                    <w:rPr>
                      <w:rFonts w:ascii="Cambria Math" w:hAnsi="Cambria Math" w:cs="Calibri"/>
                      <w:sz w:val="22"/>
                      <w:szCs w:val="22"/>
                    </w:rPr>
                    <m:t>ln</m:t>
                  </m:r>
                </m:fName>
                <m:e>
                  <m:d>
                    <m:dPr>
                      <m:begChr m:val="["/>
                      <m:endChr m:val="]"/>
                      <m:ctrlPr>
                        <w:rPr>
                          <w:rFonts w:ascii="Cambria Math" w:hAnsi="Cambria Math" w:cs="Calibri"/>
                          <w:sz w:val="22"/>
                          <w:szCs w:val="22"/>
                        </w:rPr>
                      </m:ctrlPr>
                    </m:dPr>
                    <m:e>
                      <m:r>
                        <m:rPr>
                          <m:sty m:val="p"/>
                        </m:rPr>
                        <w:rPr>
                          <w:rFonts w:ascii="Cambria Math" w:hAnsi="Cambria Math" w:cs="Calibri"/>
                          <w:sz w:val="22"/>
                          <w:szCs w:val="22"/>
                        </w:rPr>
                        <m:t>Maximum Values</m:t>
                      </m:r>
                    </m:e>
                  </m:d>
                </m:e>
              </m:func>
              <m:r>
                <m:rPr>
                  <m:sty m:val="p"/>
                </m:rPr>
                <w:rPr>
                  <w:rFonts w:ascii="Cambria Math" w:hAnsi="Cambria Math" w:cs="Calibri"/>
                  <w:sz w:val="22"/>
                  <w:szCs w:val="22"/>
                </w:rPr>
                <m:t>-</m:t>
              </m:r>
              <m:func>
                <m:funcPr>
                  <m:ctrlPr>
                    <w:rPr>
                      <w:rFonts w:ascii="Cambria Math" w:hAnsi="Cambria Math" w:cs="Calibri"/>
                      <w:sz w:val="22"/>
                      <w:szCs w:val="22"/>
                    </w:rPr>
                  </m:ctrlPr>
                </m:funcPr>
                <m:fName>
                  <m:r>
                    <m:rPr>
                      <m:sty m:val="p"/>
                    </m:rPr>
                    <w:rPr>
                      <w:rFonts w:ascii="Cambria Math" w:hAnsi="Cambria Math" w:cs="Calibri"/>
                      <w:sz w:val="22"/>
                      <w:szCs w:val="22"/>
                    </w:rPr>
                    <m:t>ln</m:t>
                  </m:r>
                </m:fName>
                <m:e>
                  <m:d>
                    <m:dPr>
                      <m:begChr m:val="["/>
                      <m:endChr m:val="]"/>
                      <m:ctrlPr>
                        <w:rPr>
                          <w:rFonts w:ascii="Cambria Math" w:hAnsi="Cambria Math" w:cs="Calibri"/>
                          <w:sz w:val="22"/>
                          <w:szCs w:val="22"/>
                        </w:rPr>
                      </m:ctrlPr>
                    </m:dPr>
                    <m:e>
                      <m:r>
                        <m:rPr>
                          <m:sty m:val="p"/>
                        </m:rPr>
                        <w:rPr>
                          <w:rFonts w:ascii="Cambria Math" w:hAnsi="Cambria Math" w:cs="Calibri"/>
                          <w:sz w:val="22"/>
                          <w:szCs w:val="22"/>
                        </w:rPr>
                        <m:t>Minimum Values</m:t>
                      </m:r>
                    </m:e>
                  </m:d>
                </m:e>
              </m:func>
            </m:den>
          </m:f>
        </m:oMath>
      </m:oMathPara>
    </w:p>
    <w:p w14:paraId="72F3BB4E" w14:textId="77777777" w:rsidR="00AA3740" w:rsidRDefault="00AA3740" w:rsidP="00AA3740">
      <w:pPr>
        <w:spacing w:after="0" w:line="240" w:lineRule="auto"/>
        <w:jc w:val="both"/>
      </w:pPr>
    </w:p>
    <w:p w14:paraId="0B65846B" w14:textId="77777777" w:rsidR="00AA3740" w:rsidRDefault="00AA3740" w:rsidP="00AA3740">
      <w:pPr>
        <w:spacing w:after="0" w:line="240" w:lineRule="auto"/>
        <w:jc w:val="both"/>
      </w:pPr>
      <w:r w:rsidRPr="00AA3740">
        <w:t>HDI is the geometric mean of a three-factor index. The formula for calculating HDI uses the following equatio</w:t>
      </w:r>
      <w:r>
        <w:t>n:</w:t>
      </w:r>
    </w:p>
    <w:p w14:paraId="5095B1B2" w14:textId="77777777" w:rsidR="00AA3740" w:rsidRDefault="00AA3740" w:rsidP="00AA3740">
      <w:pPr>
        <w:spacing w:after="0" w:line="240" w:lineRule="auto"/>
        <w:jc w:val="both"/>
      </w:pPr>
    </w:p>
    <w:p w14:paraId="19CED5AE" w14:textId="77777777" w:rsidR="00AA3740" w:rsidRPr="0086137F" w:rsidRDefault="0056249B" w:rsidP="00AA3740">
      <w:pPr>
        <w:pStyle w:val="BodyText"/>
        <w:spacing w:line="280" w:lineRule="auto"/>
        <w:ind w:right="-218" w:firstLine="120"/>
        <w:jc w:val="center"/>
        <w:rPr>
          <w:sz w:val="22"/>
        </w:rPr>
      </w:pPr>
      <w:r>
        <w:rPr>
          <w:sz w:val="22"/>
        </w:rPr>
        <w:t xml:space="preserve">HDI </w:t>
      </w:r>
      <w:r w:rsidR="00AA3740" w:rsidRPr="0086137F">
        <w:rPr>
          <w:sz w:val="22"/>
        </w:rPr>
        <w:t>=</w:t>
      </w:r>
      <m:oMath>
        <m:rad>
          <m:radPr>
            <m:ctrlPr>
              <w:rPr>
                <w:rFonts w:ascii="Cambria Math" w:hAnsi="Cambria Math"/>
                <w:i/>
                <w:sz w:val="22"/>
              </w:rPr>
            </m:ctrlPr>
          </m:radPr>
          <m:deg>
            <m:r>
              <w:rPr>
                <w:rFonts w:ascii="Cambria Math" w:hAnsi="Cambria Math"/>
                <w:sz w:val="22"/>
              </w:rPr>
              <m:t>3</m:t>
            </m:r>
          </m:deg>
          <m:e>
            <m:r>
              <m:rPr>
                <m:sty m:val="p"/>
              </m:rPr>
              <w:rPr>
                <w:rFonts w:ascii="Cambria Math" w:hAnsi="Cambria Math"/>
                <w:sz w:val="22"/>
              </w:rPr>
              <m:t>I health × I educatiion  × I income)</m:t>
            </m:r>
          </m:e>
        </m:rad>
      </m:oMath>
    </w:p>
    <w:p w14:paraId="2EE829C9" w14:textId="77777777" w:rsidR="00AA3740" w:rsidRDefault="00AA3740" w:rsidP="00AA3740">
      <w:pPr>
        <w:pStyle w:val="BodyText"/>
        <w:spacing w:line="280" w:lineRule="auto"/>
        <w:ind w:right="-218" w:firstLine="120"/>
        <w:jc w:val="center"/>
        <w:rPr>
          <w:sz w:val="18"/>
        </w:rPr>
      </w:pPr>
    </w:p>
    <w:p w14:paraId="1B97D8FE" w14:textId="77777777" w:rsidR="00AA3740" w:rsidRDefault="00AA3740" w:rsidP="00AA3740">
      <w:pPr>
        <w:spacing w:after="0" w:line="240" w:lineRule="auto"/>
        <w:ind w:firstLine="426"/>
        <w:jc w:val="both"/>
      </w:pPr>
      <w:r>
        <w:t xml:space="preserve">Human development is influenced by the level of education, health and the economy of the community with the most important choice elements being longevity and health, access to education and the achievement of a decent standard of living </w:t>
      </w:r>
      <w:r w:rsidR="00A1701D">
        <w:fldChar w:fldCharType="begin" w:fldLock="1"/>
      </w:r>
      <w:r w:rsidR="00B46A0E">
        <w:instrText>ADDIN CSL_CITATION {"citationItems":[{"id":"ITEM-1","itemData":{"DOI":"10.1016/j.resconrec.2020.104686","ISSN":"18790658","abstract":"This paper aims to re-conceptualise and advance the existing frameworks and practical applications of the circular economy (CE) towards a broader approach to development in general and, more particularly, to combine it with the approach for Human Development (HD). The CE is an alternative to the current \"take, make, waste” extractive industrial model and offers a practical solution to address global and local environmental challenges, such as resource depletion, marine plastic pollution, and for staying within planetary system boundaries. Although the CE and related concepts such as cradle to cradle provide a most promising alternative to the traditional linear economy model and its impacts on the planets eco-systems, some of the CE key elements have raised debate both in the academic community and among policy makers. One of the debates concerns the missing social or human dimensions of the CE. Likewise, the HD approach lacks considerations of environmental sustainability. Drawing on both academic and grey literature and the authorsö research observations and professional experiences in the fields of promoting the CE and international development cooperation for HD, we attempt to develop an integrative conceptual framework of the CE and HD. This framework includes social-economic elements of the transformation from linear to circular economic models, combined with HD from the social sciences and development studies. We thereby complement the technological-material focused CE model that is primarily based on principles of industrial ecology and engineering. We utilize the existing ‘circular humansphereö concept to articulate the incorporation of HD into the discussion of CE. By bringing in explicit links with HD, we pursue a double aim: First, to raise awareness and understanding among the CE research community of the missing human dimension in current CE discourse, and second, to familiarise the international development community with the approaches of CE. This will advance the options for adopting CE practices in international development programmes and for the process of implementing the social SDGs concerning HD such as SDG 1, 3, 4, 5, and 10. Finally, we hope that this CE and HD framework can contribute to the resolution of environmental and developmental issues.","author":[{"dropping-particle":"","family":"Schröder","given":"Patrick","non-dropping-particle":"","parse-names":false,"suffix":""},{"dropping-particle":"","family":"Lemille","given":"Alexandre","non-dropping-particle":"","parse-names":false,"suffix":""},{"dropping-particle":"","family":"Desmond","given":"Peter","non-dropping-particle":"","parse-names":false,"suffix":""}],"container-title":"Resources, Conservation and Recycling","id":"ITEM-1","issued":{"date-parts":[["2020"]]},"page":"1-9","publisher":"Elsevier","title":"Making the circular economy work for human development","type":"article-journal","volume":"156"},"uris":["http://www.mendeley.com/documents/?uuid=0a25d1e1-1f65-4ed8-8c0b-9cb9bd55825f"]},{"id":"ITEM-2","itemData":{"DOI":"10.15294/edaj.v8i1.28730","ISSN":"2252-6560","abstract":"The quality of human capital strongly determines the economic development of a country. Human capital can be shaped by the level of education and public health. This research analyzes the development and competition of human capital of Indonesia and other 5 ASEAN countries from 1985-2016. The problem of this study is whether human capital can be a significant determinant of economic welfare (per capita income) in ASEAN countries. The research used a regression analysis of panel data (all countries) and multiple linear regression (for each country). The independent variables are life expectancy, population growth rate, working-age population, and infant mortality rate per 1,000 live births. The results show that in general, all independent variables have a significant effect on GDP per capita. Nevertheless, an analysis in each country shows different levels and direction of influence. The quality of the human capital of Indonesia is still at the middle level among ASEAN countries. Therefore a variety of efforts to improve the quality of human capital needs to be done by the government and the people of Indonesia to win the competition between ASEAN countries.","author":[{"dropping-particle":"","family":"Wibowo","given":"Muhammad Ghafur","non-dropping-particle":"","parse-names":false,"suffix":""}],"container-title":"Economics Development Analysis Journal","id":"ITEM-2","issue":"1","issued":{"date-parts":[["2019"]]},"page":"81-93","title":"Human Capital Relation with Welfare in Indonesia and Asean Countries","type":"article-journal","volume":"8"},"uris":["http://www.mendeley.com/documents/?uuid=5b1aa590-7b97-4035-af2b-2c840d87b4bc"]}],"mendeley":{"formattedCitation":"(Schröder, Lemille, &amp; Desmond, 2020; Wibowo, 2019)","plainTextFormattedCitation":"(Schröder, Lemille, &amp; Desmond, 2020; Wibowo, 2019)","previouslyFormattedCitation":"(Schröder, Lemille, &amp; Desmond, 2020; Wibowo, 2019)"},"properties":{"noteIndex":0},"schema":"https://github.com/citation-style-language/schema/raw/master/csl-citation.json"}</w:instrText>
      </w:r>
      <w:r w:rsidR="00A1701D">
        <w:fldChar w:fldCharType="separate"/>
      </w:r>
      <w:r w:rsidR="00B46A0E" w:rsidRPr="00B46A0E">
        <w:rPr>
          <w:noProof/>
        </w:rPr>
        <w:t>(Schröder, Lemille, &amp; Desmond, 2020; Wibowo, 2019)</w:t>
      </w:r>
      <w:r w:rsidR="00A1701D">
        <w:fldChar w:fldCharType="end"/>
      </w:r>
      <w:r>
        <w:t>. Therefore, the human development index (HDI) becomes the main instrument through human development to represent human welfare at the national, regional or city level (</w:t>
      </w:r>
      <w:proofErr w:type="spellStart"/>
      <w:r>
        <w:t>Bagolin</w:t>
      </w:r>
      <w:proofErr w:type="spellEnd"/>
      <w:r>
        <w:t xml:space="preserve"> &amp; </w:t>
      </w:r>
      <w:proofErr w:type="spellStart"/>
      <w:r>
        <w:t>Comim</w:t>
      </w:r>
      <w:proofErr w:type="spellEnd"/>
      <w:r>
        <w:t>, 2008).</w:t>
      </w:r>
    </w:p>
    <w:p w14:paraId="2B6C3B00" w14:textId="77777777" w:rsidR="00AA3740" w:rsidRDefault="00AA3740" w:rsidP="00AA3740">
      <w:pPr>
        <w:spacing w:after="0" w:line="240" w:lineRule="auto"/>
        <w:ind w:firstLine="426"/>
        <w:jc w:val="both"/>
      </w:pPr>
      <w:r>
        <w:t xml:space="preserve">Health is an important component in increasing the life expectancy of the population. This refers to an individual's life expectancy which is a synthetic indicator to assess the economic development and progress of a country or region </w:t>
      </w:r>
      <w:r w:rsidR="00A1701D">
        <w:fldChar w:fldCharType="begin" w:fldLock="1"/>
      </w:r>
      <w:r>
        <w:instrText>ADDIN CSL_CITATION {"citationItems":[{"id":"ITEM-1","itemData":{"DOI":"10.24034/j25485024.y2014.v18.i4.2162","ISSN":"2548-298X","abstract":"Human Development Index (HDI) is an index established by UNDP in 1996 to measure the well-being of society. Indonesian HDI increased during the period of 2008-2012; however, there is high variation among 33 provinces. Its position in the world is still below the average (121 of 187 countries) and ranks 5th among ASEAN countries (UNDP, 2013). Based on this phenomenon this study tries to analyze the determinants of HDI which include GDP, dependency ratio, household consumption for food, government budget for education, and the budget for health. The results indicate that GDP and government budget for health have positive effect on HDI, whereas dependency ratio and household consumption for food have negative effect. However, the budget for education has no effect on HDI. HDI is an important indicator of development; therefore, the government and the society should take efforts to improve the HDI. Economic growth, income distribution, population control, poverty alleviation, as well as improvement in health services and education are needed in order to improve the HDI.","author":[{"dropping-particle":"","family":"Bhakti","given":"Nadia Ayu","non-dropping-particle":"","parse-names":false,"suffix":""},{"dropping-particle":"","family":"Istiqomah","given":"Istiqomah","non-dropping-particle":"","parse-names":false,"suffix":""},{"dropping-particle":"","family":"Suprapto","given":"Suprapto","non-dropping-particle":"","parse-names":false,"suffix":""}],"container-title":"EKUITAS (Jurnal Ekonomi dan Keuangan)","id":"ITEM-1","issue":"4","issued":{"date-parts":[["2014"]]},"page":"452-469","title":"Analisis Faktor-Faktor Yang Mempengaruhi Indeks Pembangunan Manusia Di Indonesia Periode 2008-2012","type":"article-journal","volume":"18"},"uris":["http://www.mendeley.com/documents/?uuid=3839b8df-13c0-4094-b90f-03e61c948afd"]},{"id":"ITEM-2","itemData":{"DOI":"10.5114/ms.2018.78685","ISSN":"1899-1874","abstract":"Introduction: Life expectancy is the number of years that people in a given country or population can expect to live. Dramatic gains in life expectancy have been made globally since 2000, but major inequalities persist within and among countries of different human development. Aim of the research: To identify determinants of life expectancy in countries that have low and medium human development index. Material(s) and Method(s): The study was conducted from January 1, 2018 to April 15, 2018 using the most recent aggregates of health indicator data from the WHO, World Bank, UNDP, and UNICEF databases in 83 countries with low and medium human development. The dependent variable was life expectancy, while the independent variable was socio-economic, healthcare related, and morbidity variables. Data was compiled in excel and analysed using SPSS version 21. A linear relationship was drawn between variables and presented in tables. Result(s): Life expectancy was shorter in the studied countries and varied enormously among countries. A significant relationship between life expectancy and socio-economic, healthcare, and morbidity indicator variables was observed. There was an inverse and significant linear relationship between life expectancy and young age dependency rate, total fertility rate, child mortality rate, and a positive relation with HDI, adult literacy rate, contraceptive prevalence rate, HIV incidence rate, and TB incidence rate. Conclusion(s): Life expectancy is determined by multiples of socio-economic factors, health and health care system associated factors, disease burden, and their complex interactions. Therefore, policy and programs targeted to improve life expectancy should consider population dynamics, socio-economic influence, and health system factors.Copyright © 2018 Termedia Publishing House Ltd. All rights reserved.","author":[{"dropping-particle":"","family":"Girum","given":"Tadele","non-dropping-particle":"","parse-names":false,"suffix":""},{"dropping-particle":"","family":"Muktar","given":"Ebrahim","non-dropping-particle":"","parse-names":false,"suffix":""},{"dropping-particle":"","family":"Shegaze","given":"Mulugeta","non-dropping-particle":"","parse-names":false,"suffix":""}],"container-title":"Medical Studies","id":"ITEM-2","issue":"3","issued":{"date-parts":[["2018"]]},"page":"218-225","title":"Determinants of life expectancy in low and medium human development index countries","type":"article-journal","volume":"34"},"uris":["http://www.mendeley.com/documents/?uuid=8ce6fa78-1c62-444e-b2d7-34f47131fd69"]},{"id":"ITEM-3","itemData":{"DOI":"10.1016/j.resconrec.2020.104686","ISSN":"18790658","abstract":"This paper aims to re-conceptualise and advance the existing frameworks and practical applications of the circular economy (CE) towards a broader approach to development in general and, more particularly, to combine it with the approach for Human Development (HD). The CE is an alternative to the current \"take, make, waste” extractive industrial model and offers a practical solution to address global and local environmental challenges, such as resource depletion, marine plastic pollution, and for staying within planetary system boundaries. Although the CE and related concepts such as cradle to cradle provide a most promising alternative to the traditional linear economy model and its impacts on the planets eco-systems, some of the CE key elements have raised debate both in the academic community and among policy makers. One of the debates concerns the missing social or human dimensions of the CE. Likewise, the HD approach lacks considerations of environmental sustainability. Drawing on both academic and grey literature and the authorsö research observations and professional experiences in the fields of promoting the CE and international development cooperation for HD, we attempt to develop an integrative conceptual framework of the CE and HD. This framework includes social-economic elements of the transformation from linear to circular economic models, combined with HD from the social sciences and development studies. We thereby complement the technological-material focused CE model that is primarily based on principles of industrial ecology and engineering. We utilize the existing ‘circular humansphereö concept to articulate the incorporation of HD into the discussion of CE. By bringing in explicit links with HD, we pursue a double aim: First, to raise awareness and understanding among the CE research community of the missing human dimension in current CE discourse, and second, to familiarise the international development community with the approaches of CE. This will advance the options for adopting CE practices in international development programmes and for the process of implementing the social SDGs concerning HD such as SDG 1, 3, 4, 5, and 10. Finally, we hope that this CE and HD framework can contribute to the resolution of environmental and developmental issues.","author":[{"dropping-particle":"","family":"Schröder","given":"Patrick","non-dropping-particle":"","parse-names":false,"suffix":""},{"dropping-particle":"","family":"Lemille","given":"Alexandre","non-dropping-particle":"","parse-names":false,"suffix":""},{"dropping-particle":"","family":"Desmond","given":"Peter","non-dropping-particle":"","parse-names":false,"suffix":""}],"container-title":"Resources, Conservation and Recycling","id":"ITEM-3","issued":{"date-parts":[["2020"]]},"page":"1-9","publisher":"Elsevier","title":"Making the circular economy work for human development","type":"article-journal","volume":"156"},"uris":["http://www.mendeley.com/documents/?uuid=0a25d1e1-1f65-4ed8-8c0b-9cb9bd55825f"]}],"mendeley":{"formattedCitation":"(Bhakti et al., 2014; Girum, Muktar, &amp; Shegaze, 2018; Schröder et al., 2020)","plainTextFormattedCitation":"(Bhakti et al., 2014; Girum, Muktar, &amp; Shegaze, 2018; Schröder et al., 2020)","previouslyFormattedCitation":"(Bhakti et al., 2014; Girum, Muktar, &amp; Shegaze, 2018; Schröder et al., 2020)"},"properties":{"noteIndex":0},"schema":"https://github.com/citation-style-language/schema/raw/master/csl-citation.json"}</w:instrText>
      </w:r>
      <w:r w:rsidR="00A1701D">
        <w:fldChar w:fldCharType="separate"/>
      </w:r>
      <w:r w:rsidRPr="006B4851">
        <w:rPr>
          <w:noProof/>
        </w:rPr>
        <w:t>(Bhakti et al., 2014; Girum, Muktar, &amp; Shegaze, 2018; Schröder et al., 2020)</w:t>
      </w:r>
      <w:r w:rsidR="00A1701D">
        <w:fldChar w:fldCharType="end"/>
      </w:r>
      <w:r w:rsidRPr="0053368E">
        <w:t>.</w:t>
      </w:r>
      <w:r>
        <w:t xml:space="preserve"> Education is also a major part of human development strategy. School achievements reflect the individual's role in promoting regional growth and development </w:t>
      </w:r>
      <w:r w:rsidR="00A1701D">
        <w:fldChar w:fldCharType="begin" w:fldLock="1"/>
      </w:r>
      <w:r>
        <w:instrText>ADDIN CSL_CITATION {"citationItems":[{"id":"ITEM-1","itemData":{"ISSN":"2412-4354","abstract":"The role of improved schooling, a central part of most development strategies, has become controversial because expansion of school attainment has not guaranteed improved economic conditions. This paper reviews the role of education in promoting economic well-being, with a particular focus on the role of educational quality. It concludes that there is strong evidence that the cognitive skills of the population rather than mere school attainment are powerfully related to individual earnings, to the distribution of income, and to economic growth. New empirical results show the importance of both minimal and high level skills, the complementarity of skills and the quality of economic institutions, and the robustness of the relationship between skills and growth. International comparisons incorporating expanded data on cognitive skills reveal much larger skill deficits in developing countries than generally derived from just school enrollment and attainment. The magnitude of change needed makes clear that closing the economic gap with developed countries will require major structural changes in schooling institutions.","author":[{"dropping-particle":"","family":"Hanushek","given":"Eric A","non-dropping-particle":"","parse-names":false,"suffix":""},{"dropping-particle":"","family":"Wößmann","given":"Ludger","non-dropping-particle":"","parse-names":false,"suffix":""}],"container-title":"Economics of Education Review,","id":"ITEM-1","issue":"2","issued":{"date-parts":[["2007"]]},"page":"1-94","title":"The Role of Education Quality in Economic Growth","type":"article-journal","volume":"37"},"uris":["http://www.mendeley.com/documents/?uuid=8015c1e1-5bef-465f-8316-7190bea40fae"]},{"id":"ITEM-2","itemData":{"DOI":"10.1016/j.econedurev.2013.04.005","ISSN":"02727757","abstract":"The focus on human capital as a driver of economic growth for developing countries has led to undue attention on school attainment. Developing countries have made considerable progress in closing the gap with developed countries in terms of school attainment, but recent research has underscored the importance of cognitive skills for economic growth. This result shifts attention to issues of school quality and, in that area developing countries have been much less successful in closing the gaps with developed countries. Without improving school quality, developing countries will find it difficult to improve their long run economic performance. © 2013 Elsevier Ltd.","author":[{"dropping-particle":"","family":"Hanushek","given":"Eric A.","non-dropping-particle":"","parse-names":false,"suffix":""}],"container-title":"Economics of Education Review","id":"ITEM-2","issued":{"date-parts":[["2013"]]},"page":"204-212","publisher":"Elsevier Ltd","title":"Economic growth in developing countries: The role of human capital","type":"article-journal","volume":"37"},"uris":["http://www.mendeley.com/documents/?uuid=592d5769-47c8-4675-924e-c792c08671a5"]},{"id":"ITEM-3","itemData":{"DOI":"10.29244/jp2wd.2017.1.2.202-216","ISSN":"2549-3922","abstract":"Regionalization approach is a kind of approach to manage and to achieve the development goals based on the characteristics of a region. The development system of Malang Regency is conducted through regionalization approach which divided the area into six Development Areas (WP). Furthermore, the typology of development area in Malang Regency can be divided into three typology (urban, peri-urban and rural). This research aims to analyze factors that influence the human development index (HDI) of Malang Regency based on regionalization approach and panel regression. Data panel regression method was used in analyzing the data. The results of the research showed variables that have a positive and significant influence to the human development index in each typology of development areas of Malang Regency consisting of the number of health facilities, the number of nurse-midwife and the population density in typology I (urban); the ratio of school per students at primary school and the population density in typology II (peri-urban); and the number of nurse-midwife in typology III (rural).","author":[{"dropping-particle":"","family":"Latuconsina","given":"Zulfikar Mohamad Yamin","non-dropping-particle":"","parse-names":false,"suffix":""}],"container-title":"Journal of Regional and Rural Development Planning","id":"ITEM-3","issue":"2","issued":{"date-parts":[["2017"]]},"page":"202-216","title":"Analisis Faktor-faktor yang Mempengaruhi Indeks Pembangunan Manusia Kabupaten Malang Berbasis Pendekatan Perwilayahan dan Regresi Panel","type":"article-journal","volume":"1"},"uris":["http://www.mendeley.com/documents/?uuid=6871db1e-f14c-4ead-93eb-ce7e21d96315"]},{"id":"ITEM-4","itemData":{"DOI":"10.12962/j23373520.v2i2.4844","abstract":"Pembangunan merupakan salah satu cara untuk meningkatkan kualitas kehidupan demi terciptanya masyarakat yang makmur dan sejahtera. Pemerintah terus melakukan pembangunan di segala aspek baik aspek pendidikan, kesehatan, dan kehidupan yang layak. Untuk mengukur keberhasilan pembangunan salah satu indikator yang bisa digunakan adalah Indeks Pembangunan Manusia (IPM). Dalam perhitungan IPM telah melibatkan komponen ekonomi maupun non ekonomi. Penelitian ini bertujuan untuk meneliti faktor yang mempengaruhi IPM Jawa Timur pada tahun 2004-2011. Karena data yang digunakan merupakan data panel yaitu gabungan antara data cross section dan time series, maka IPM dimodelkan dengan regresi panel. Untuk mengestimasi model digunakan pendekatan fixed effect model (FEM) cross section weight. Pemodelan IPM dengan FEM cross section weight menghasilkan nilai sebesar 96,67 persen. Hasil penelitian menunjukkan bahwa untuk meningkatkan IPM dapat dilakukan dengan cara meningkatkan angka partisipasi sekolah (APS), jumlah sarana kesehatan, persentase rumah tangga dengan akses air bersih, tingkat partisipasi angkatan kerja (TPAK), dan PDRB perkapita. Kata","author":[{"dropping-particle":"","family":"Melliana","given":"Ayunanda","non-dropping-particle":"","parse-names":false,"suffix":""},{"dropping-particle":"","family":"Zain","given":"Ismaini","non-dropping-particle":"","parse-names":false,"suffix":""}],"container-title":"Jurnal Sains Dan Seni Pomits","id":"ITEM-4","issue":"2","issued":{"date-parts":[["2013"]]},"page":"237-242","title":"Indeks Pembangunan Manusia di Kabupaten / Kota Provinsi Jawa Timur dengan Menggunakan Regresi Panel","type":"article-journal","volume":"2"},"uris":["http://www.mendeley.com/documents/?uuid=8c323164-efd5-423c-8d7d-ed810eb99d6b"]},{"id":"ITEM-5","itemData":{"abstract":"This study is an observational case study with 35 regencies / cities in Central Java Province, with a period of 8 years (2002 to 2009). Object of the study consisted of four variables, namely: expenditures of regencial goverment, Gini ratio, the proportion of non-food consumption expenditure, and dependency ratio. Hypothesis, the expected four variables collectively influence the development of the Human Development Index (HDI) figures in the Central Java Province. Secondary data obtained from the publication of survey results related to the Statistics Indonesia (BPS) with time series from 2002 to 2009, thus forming the balance pooled data, because data variables across time and across the full range available with a total of 280 cross section data. Data analysis using log linear regression with the help of the application program E-views 5.1 statistical test using random effects regression method was selected. Conclusions from studies of the four variables thought to affect the HDI in Central Java province, assuming ceteris paribus condition that: Expenditures of regencial goverment significantly positive influence on the HDI. Elasticity of the HDI increased due to increased expenditures amounted to 0.032. If the regional spending rose 1 percent, then the average HDI will rise about 0.032 percent. Gini ratio is significantly negative effect on the HDI. Elasticity increased HDI in connection with a reduction in the Gini ratio is equal to -0.034, if the Gini ratio fell 1 percent, then the average HDI will rise about 0.034 percent. The proportion of non-food expenditures, significantly positive influence on the HDI. HDI increased elasticity with respect to increasing the proportion of non-food expenditures amounted to 0.172. If the proportion of non- food spending rose 1 percent, then the average HDI will rise about 0.172 percent. Dependency ratio is significantly negative effect on the HDI. Elasticity increased HDI in connection with a reduction in the dependency ratio is equal to -0.062. When the dependency ratio fell 1 percent, then the average HDI will rise about 0.062 percent.","author":[{"dropping-particle":"","family":"Pratowo","given":"Nur Isa","non-dropping-particle":"","parse-names":false,"suffix":""}],"container-title":"Jurnal Studi Ekonomi Indonesia","id":"ITEM-5","issue":"1","issued":{"date-parts":[["2011"]]},"page":"15-31","title":"Analisis Faktor-Faktor Yang Berpengaruh Terhadap Indeks Pembangunan Manusia","type":"article-journal","volume":"1"},"uris":["http://www.mendeley.com/documents/?uuid=0d21e795-2539-4104-aa0f-eb98f4397958"]}],"mendeley":{"formattedCitation":"(Hanushek, 2013; Hanushek &amp; Wößmann, 2007; Latuconsina, 2017; Melliana &amp; Zain, 2013; Pratowo, 2011)","plainTextFormattedCitation":"(Hanushek, 2013; Hanushek &amp; Wößmann, 2007; Latuconsina, 2017; Melliana &amp; Zain, 2013; Pratowo, 2011)","previouslyFormattedCitation":"(Hanushek, 2013; Hanushek &amp; Wößmann, 2007; Latuconsina, 2017; Melliana &amp; Zain, 2013; Pratowo, 2011)"},"properties":{"noteIndex":0},"schema":"https://github.com/citation-style-language/schema/raw/master/csl-citation.json"}</w:instrText>
      </w:r>
      <w:r w:rsidR="00A1701D">
        <w:fldChar w:fldCharType="separate"/>
      </w:r>
      <w:r w:rsidRPr="00064720">
        <w:rPr>
          <w:noProof/>
        </w:rPr>
        <w:t>(Hanushek, 2013; Hanushek &amp; Wößmann, 2007; Latuconsina, 2017; Melliana &amp; Zain, 2013; Pratowo, 2011)</w:t>
      </w:r>
      <w:r w:rsidR="00A1701D">
        <w:fldChar w:fldCharType="end"/>
      </w:r>
      <w:r>
        <w:t xml:space="preserve">. Human development refers to human well-being (community economy) as the core of development goals to achieve a decent life </w:t>
      </w:r>
      <w:r w:rsidR="00A1701D">
        <w:fldChar w:fldCharType="begin" w:fldLock="1"/>
      </w:r>
      <w:r>
        <w:instrText>ADDIN CSL_CITATION {"citationItems":[{"id":"ITEM-1","itemData":{"abstract":"The human development index (HDI) is currently used for many different purposes, from a comparative index to a decision-making instrument for public policy decisions. It is also used as a ‘blaming and shaming’ index in the media. For this reason, in this paper we delve into the foundations of the HDI, exploring to what extent it can be considered an alternative to the use of the gross national product (GNP) as the main measure of human development. Our focus is mainly on the HDI and its evolution and unsolved technical issues. Was the HDI successful as an alternative? Given that the established goal was to provide an alternative index to the unidimensional and income centred previous indicators, HDI represents indeed advancement, both in terms of the characterisation of the multidimensional nature of development and in terms of its refined theoretical basis. On the other hand, arguments claiming the introduction of a completely new paradigm, showing a change from the concentration on means towards the promotion of human ends, are far from being settled. The claim that HDI is a capability measure, considered the most basic human capabilities, also remains elusive.","author":[{"dropping-particle":"","family":"Bagolin","given":"Izete Pengo","non-dropping-particle":"","parse-names":false,"suffix":""},{"dropping-particle":"V","family":"Comim","given":"Flavio","non-dropping-particle":"","parse-names":false,"suffix":""}],"container-title":"Revista de Economia","id":"ITEM-1","issue":"2","issued":{"date-parts":[["2008"]]},"page":"7-28","title":"Human Development Index ( HDI ) and its family of indexes : an evolving critical review","type":"article-journal","volume":"34"},"uris":["http://www.mendeley.com/documents/?uuid=f4217048-44b0-4634-b34e-cd36a0d1ef75"]},{"id":"ITEM-2","itemData":{"abstract":"This study is an observational case study with 35 regencies / cities in Central Java Province, with a period of 8 years (2002 to 2009). Object of the study consisted of four variables, namely: expenditures of regencial goverment, Gini ratio, the proportion of non-food consumption expenditure, and dependency ratio. Hypothesis, the expected four variables collectively influence the development of the Human Development Index (HDI) figures in the Central Java Province. Secondary data obtained from the publication of survey results related to the Statistics Indonesia (BPS) with time series from 2002 to 2009, thus forming the balance pooled data, because data variables across time and across the full range available with a total of 280 cross section data. Data analysis using log linear regression with the help of the application program E-views 5.1 statistical test using random effects regression method was selected. Conclusions from studies of the four variables thought to affect the HDI in Central Java province, assuming ceteris paribus condition that: Expenditures of regencial goverment significantly positive influence on the HDI. Elasticity of the HDI increased due to increased expenditures amounted to 0.032. If the regional spending rose 1 percent, then the average HDI will rise about 0.032 percent. Gini ratio is significantly negative effect on the HDI. Elasticity increased HDI in connection with a reduction in the Gini ratio is equal to -0.034, if the Gini ratio fell 1 percent, then the average HDI will rise about 0.034 percent. The proportion of non-food expenditures, significantly positive influence on the HDI. HDI increased elasticity with respect to increasing the proportion of non-food expenditures amounted to 0.172. If the proportion of non- food spending rose 1 percent, then the average HDI will rise about 0.172 percent. Dependency ratio is significantly negative effect on the HDI. Elasticity increased HDI in connection with a reduction in the dependency ratio is equal to -0.062. When the dependency ratio fell 1 percent, then the average HDI will rise about 0.062 percent.","author":[{"dropping-particle":"","family":"Pratowo","given":"Nur Isa","non-dropping-particle":"","parse-names":false,"suffix":""}],"container-title":"Jurnal Studi Ekonomi Indonesia","id":"ITEM-2","issue":"1","issued":{"date-parts":[["2011"]]},"page":"15-31","title":"Analisis Faktor-Faktor Yang Berpengaruh Terhadap Indeks Pembangunan Manusia","type":"article-journal","volume":"1"},"uris":["http://www.mendeley.com/documents/?uuid=0d21e795-2539-4104-aa0f-eb98f4397958"]},{"id":"ITEM-3","itemData":{"DOI":"10.1016/s2212-5671(15)00692-9","ISSN":"22125671","abstract":"In the article, a theory of human development based on reports (Research) of United Nations Development Program is described. Model of human development, which was obtained by means of correlation analysis of a number of quantitative indicators of human development across countries, is considered. The main components of the model are the human development index, the index of innovation, ICT index, Gross national income and life expectancy indexes.","author":[{"dropping-particle":"","family":"Yakunina","given":"R.P.","non-dropping-particle":"","parse-names":false,"suffix":""},{"dropping-particle":"","family":"Bychkov","given":"G.A.","non-dropping-particle":"","parse-names":false,"suffix":""}],"container-title":"Procedia Economics and Finance","id":"ITEM-3","issue":"July","issued":{"date-parts":[["2015"]]},"page":"766-771","publisher":"Elsevier B.V.","title":"Correlation Analysis of the Components of the Human Development Index Across Countries","type":"paper-conference","volume":"24"},"uris":["http://www.mendeley.com/documents/?uuid=190f338b-44b6-45c0-a2cb-a6802375288f"]},{"id":"ITEM-4","itemData":{"DOI":"10.1016/j.respol.2016.04.006","ISSN":"00487333","abstract":"Human capital is identified as one of the main determinants of economic growth and plays an important role in the technological progress of countries. Nevertheless, existing studies have to some extent neglected the importance of human capital in the growth process via the interaction it can have with a country's industrial specialization. Additionally, the emphasis is mainly placed on supply-side determinants, while demand-side factors are neglected, particularly the relevance of the processes of structural change. Thus, using a growth model which integrates variables from both the supply side and demand side, we assess the direct and indirect effects of human capital on economic growth, including in the latter the interaction of human capital with the industrial specialization of countries. Based on dynamic panel data estimations, we found that human capital and the countries’ productive specialization dynamics are crucial factors for economic growth. Moreover, the interaction between human capital and structural change in high knowledge-intensive industries impacts significantly on economic growth. However, the sign of this effect depends on the type of country and the period of analysis. Specifically, over a longer time span (1960–2011) and for more highly developed (OECD) countries, the impact of the interaction between human capital and structural change is positive. When we also include transition and Mediterranean countries over a shorter time period (1990–2011), we find that human capital significantly and positively impacts on the countries’ economic growth but the effect of human capital via specialization in high-tech and knowledge-intensive activities is negative. The latter result indicates that the lack of industrial structures able to properly integrate highly educated individuals into the productive system leads countries to experience disappointing economic returns.","author":[{"dropping-particle":"","family":"Teixeira","given":"Aurora A.C.","non-dropping-particle":"","parse-names":false,"suffix":""},{"dropping-particle":"","family":"Queirós","given":"Anabela S.S.","non-dropping-particle":"","parse-names":false,"suffix":""}],"container-title":"Research Policy","id":"ITEM-4","issue":"8","issued":{"date-parts":[["2016"]]},"page":"1636-1648","publisher":"Elsevier B.V.","title":"Economic growth, human capital and structural change: A dynamic panel data analysis","type":"article-journal","volume":"45"},"uris":["http://www.mendeley.com/documents/?uuid=b39953b9-7571-42ea-aedd-b050083dd9fa"]}],"mendeley":{"formattedCitation":"(Bagolin &amp; Comim, 2008; Pratowo, 2011; Teixeira &amp; Queirós, 2016; Yakunina &amp; Bychkov, 2015)","plainTextFormattedCitation":"(Bagolin &amp; Comim, 2008; Pratowo, 2011; Teixeira &amp; Queirós, 2016; Yakunina &amp; Bychkov, 2015)","previouslyFormattedCitation":"(Bagolin &amp; Comim, 2008; Pratowo, 2011; Teixeira &amp; Queirós, 2016; Yakunina &amp; Bychkov, 2015)"},"properties":{"noteIndex":0},"schema":"https://github.com/citation-style-language/schema/raw/master/csl-citation.json"}</w:instrText>
      </w:r>
      <w:r w:rsidR="00A1701D">
        <w:fldChar w:fldCharType="separate"/>
      </w:r>
      <w:r w:rsidRPr="00995D21">
        <w:rPr>
          <w:noProof/>
        </w:rPr>
        <w:t>(Bagolin &amp; Comim, 2008; Pratowo, 2011; Teixeira &amp; Queirós, 2016; Yakunina &amp; Bychkov, 2015)</w:t>
      </w:r>
      <w:r w:rsidR="00A1701D">
        <w:fldChar w:fldCharType="end"/>
      </w:r>
      <w:r>
        <w:t>.</w:t>
      </w:r>
    </w:p>
    <w:p w14:paraId="722047B6" w14:textId="77777777" w:rsidR="00AA3740" w:rsidRDefault="00AA3740" w:rsidP="00AA3740">
      <w:pPr>
        <w:spacing w:after="0" w:line="240" w:lineRule="auto"/>
        <w:ind w:firstLine="426"/>
        <w:jc w:val="both"/>
      </w:pPr>
      <w:r>
        <w:t xml:space="preserve">Health factors in human development can be measured through life expectancy (UHH) based on certain demographic factors, namely year of birth and current age. The average number of estimates expected to live by an individual from birth defines a statistical measure of life expectancy at birth Life expectancy is a prediction of survival based on the observed specific mortality rate. UHH is an estimate of an individual's length of life from birth to death. UUH does not predict changes in mortality over time, but rather reflects the pattern of death at a certain point </w:t>
      </w:r>
      <w:r w:rsidR="00A1701D" w:rsidRPr="00920DA7">
        <w:fldChar w:fldCharType="begin" w:fldLock="1"/>
      </w:r>
      <w:r>
        <w:instrText>ADDIN CSL_CITATION {"citationItems":[{"id":"ITEM-1","itemData":{"URL":"https://ourworldindata.org/measuring-education-what-data-is-available","accessed":{"date-parts":[["2018","2","23"]]},"author":[{"dropping-particle":"","family":"Roser","given":"Max","non-dropping-particle":"","parse-names":false,"suffix":""}],"container-title":"The Oxford Martin Programme on Global Development","id":"ITEM-1","issued":{"date-parts":[["2015"]]},"title":"Measuring education: What data is available?","type":"webpage"},"uris":["http://www.mendeley.com/documents/?uuid=6f87dcdf-1041-4374-85ab-3e2d6d044317"]}],"mendeley":{"formattedCitation":"(Roser, 2015)","plainTextFormattedCitation":"(Roser, 2015)","previouslyFormattedCitation":"(Roser, 2015)"},"properties":{"noteIndex":0},"schema":"https://github.com/citation-style-language/schema/raw/master/csl-citation.json"}</w:instrText>
      </w:r>
      <w:r w:rsidR="00A1701D" w:rsidRPr="00920DA7">
        <w:fldChar w:fldCharType="separate"/>
      </w:r>
      <w:r w:rsidRPr="00920DA7">
        <w:rPr>
          <w:noProof/>
        </w:rPr>
        <w:t>(Roser, 2015)</w:t>
      </w:r>
      <w:r w:rsidR="00A1701D" w:rsidRPr="00920DA7">
        <w:fldChar w:fldCharType="end"/>
      </w:r>
      <w:r w:rsidRPr="00920DA7">
        <w:t>.</w:t>
      </w:r>
    </w:p>
    <w:p w14:paraId="5B6C13B7" w14:textId="77777777" w:rsidR="003265D6" w:rsidRDefault="00AA3740" w:rsidP="003265D6">
      <w:pPr>
        <w:spacing w:after="0" w:line="240" w:lineRule="auto"/>
        <w:ind w:firstLine="426"/>
        <w:jc w:val="both"/>
      </w:pPr>
      <w:r>
        <w:t xml:space="preserve">Education is the second factor in human development. This factor consists of two indicators, namely: expected length of schooling (HLS) and average length of schooling (RLS). HLS is an expectation of long schooling that will be felt by children at the age of 7 years in the future. The average length of schooling (RLS) is different from HLS. RLS shows the education quality of the population of a country or region. The RLS size is calculated based on the population aged 15 to 25 years and shows the average years of schooling at the elementary, middle and high levels </w:t>
      </w:r>
      <w:r w:rsidR="00A1701D" w:rsidRPr="00920DA7">
        <w:fldChar w:fldCharType="begin" w:fldLock="1"/>
      </w:r>
      <w:r w:rsidR="003265D6">
        <w:instrText>ADDIN CSL_CITATION {"citationItems":[{"id":"ITEM-1","itemData":{"URL":"https://ourworldindata.org/measuring-education-what-data-is-available","accessed":{"date-parts":[["2018","2","23"]]},"author":[{"dropping-particle":"","family":"Roser","given":"Max","non-dropping-particle":"","parse-names":false,"suffix":""}],"container-title":"The Oxford Martin Programme on Global Development","id":"ITEM-1","issued":{"date-parts":[["2015"]]},"title":"Measuring education: What data is available?","type":"webpage"},"uris":["http://www.mendeley.com/documents/?uuid=6f87dcdf-1041-4374-85ab-3e2d6d044317"]}],"mendeley":{"formattedCitation":"(Roser, 2015)","plainTextFormattedCitation":"(Roser, 2015)","previouslyFormattedCitation":"(Roser, 2015)"},"properties":{"noteIndex":0},"schema":"https://github.com/citation-style-language/schema/raw/master/csl-citation.json"}</w:instrText>
      </w:r>
      <w:r w:rsidR="00A1701D" w:rsidRPr="00920DA7">
        <w:fldChar w:fldCharType="separate"/>
      </w:r>
      <w:r w:rsidR="003265D6" w:rsidRPr="00920DA7">
        <w:rPr>
          <w:noProof/>
        </w:rPr>
        <w:t>(Roser, 2015)</w:t>
      </w:r>
      <w:r w:rsidR="00A1701D" w:rsidRPr="00920DA7">
        <w:fldChar w:fldCharType="end"/>
      </w:r>
      <w:r w:rsidR="003265D6" w:rsidRPr="00920DA7">
        <w:t>.</w:t>
      </w:r>
    </w:p>
    <w:p w14:paraId="5C3D4465" w14:textId="77777777" w:rsidR="00746754" w:rsidRPr="007A69FD" w:rsidRDefault="00AA3740" w:rsidP="007A69FD">
      <w:pPr>
        <w:spacing w:after="0" w:line="240" w:lineRule="auto"/>
        <w:ind w:firstLine="426"/>
        <w:jc w:val="both"/>
      </w:pPr>
      <w:r>
        <w:t xml:space="preserve">The third factor is the economy by measuring the purchasing power aspect that describes the standard of living of a population. The indicator of a decent standard of living is gross national income (GNP). GNP is the amount of gross domestic product (GDP) plus income received from income abroad </w:t>
      </w:r>
      <w:r w:rsidR="00A1701D">
        <w:fldChar w:fldCharType="begin" w:fldLock="1"/>
      </w:r>
      <w:r w:rsidR="003265D6">
        <w:instrText>ADDIN CSL_CITATION {"citationItems":[{"id":"ITEM-1","itemData":{"URL":"http://hdr.undp.org/en/content/latest-human-development-index-ranking","accessed":{"date-parts":[["2021","5","5"]]},"author":[{"dropping-particle":"","family":"UNDP","given":"","non-dropping-particle":"","parse-names":false,"suffix":""}],"container-title":"Human Development Report","id":"ITEM-1","issued":{"date-parts":[["2020"]]},"title":"Latest Human Development Index Ranking | Human Development Reports.","type":"webpage"},"uris":["http://www.mendeley.com/documents/?uuid=d5283304-9ffd-4373-9a15-a98c13d005b1"]}],"mendeley":{"formattedCitation":"(UNDP, 2020)","plainTextFormattedCitation":"(UNDP, 2020)","previouslyFormattedCitation":"(UNDP, 2020)"},"properties":{"noteIndex":0},"schema":"https://github.com/citation-style-language/schema/raw/master/csl-citation.json"}</w:instrText>
      </w:r>
      <w:r w:rsidR="00A1701D">
        <w:fldChar w:fldCharType="separate"/>
      </w:r>
      <w:r w:rsidR="003265D6" w:rsidRPr="00941E89">
        <w:rPr>
          <w:noProof/>
        </w:rPr>
        <w:t>(UNDP, 2020)</w:t>
      </w:r>
      <w:r w:rsidR="00A1701D">
        <w:fldChar w:fldCharType="end"/>
      </w:r>
      <w:r w:rsidR="003265D6">
        <w:t xml:space="preserve">. </w:t>
      </w:r>
      <w:r>
        <w:t xml:space="preserve">The economy greatly influences the achievement of education and health aspects, either through expansion of individual real expenditures or government policy programs. Economic growth will increase development humans </w:t>
      </w:r>
      <w:r w:rsidR="00A1701D" w:rsidRPr="00920DA7">
        <w:fldChar w:fldCharType="begin" w:fldLock="1"/>
      </w:r>
      <w:r w:rsidR="003265D6">
        <w:instrText>ADDIN CSL_CITATION {"citationItems":[{"id":"ITEM-1","itemData":{"DOI":"10.1016/j.ecolecon.2007.05.011","ISSN":"09218009","abstract":"Over the last few years, environmental issues have entered into policy design, particularly development and growth policies. Natural resources are considered necessary production inputs and environmental quality is considered a welfare determinant. The integration of environmental issues into economic growth and development theories and empirics is currently widely analyzed in the literature. The effects of natural resources endowment on economic growth are mainly analyzed through the so-called Resource Curse Hypothesis (RCH) whereas the effects of economic growth on environmental quality are part of the Environmental Kuznets Curve (EKC). Furthermore, recent contributions on RCH and EKC have shown the important role of institutions and human development dimensions in building a sustainable development path. In this paper, we attempt to analyze the causal relationships between economic growth, human development and sustainability combining the RCH and EKC models and adopting a human development perspective. Results confirm the importance of high institutional quality and investments for human capital accumulation in order to build a sustainable development path. © 2007 Elsevier B.V. All rights reserved.","author":[{"dropping-particle":"","family":"Chiappero-Martinentti","given":"Enrica","non-dropping-particle":"","parse-names":false,"suffix":""},{"dropping-particle":"Von","family":"Jacobi","given":"Nadia","non-dropping-particle":"","parse-names":false,"suffix":""},{"dropping-particle":"","family":"Signorelli","given":"Marcello","non-dropping-particle":"","parse-names":false,"suffix":""}],"container-title":"Palgrave Dictionary of Emerging Markets and Transition Economics","id":"ITEM-1","issued":{"date-parts":[["2015"]]},"page":"223-243","title":"Human Development and Economic Growth","type":"article-journal"},"uris":["http://www.mendeley.com/documents/?uuid=f1785253-e863-411f-9998-6feb6fcde4e0"]}],"mendeley":{"formattedCitation":"(Chiappero-Martinentti, Jacobi, &amp; Signorelli, 2015)","plainTextFormattedCitation":"(Chiappero-Martinentti, Jacobi, &amp; Signorelli, 2015)","previouslyFormattedCitation":"(Chiappero-Martinentti, Jacobi, &amp; Signorelli, 2015)"},"properties":{"noteIndex":0},"schema":"https://github.com/citation-style-language/schema/raw/master/csl-citation.json"}</w:instrText>
      </w:r>
      <w:r w:rsidR="00A1701D" w:rsidRPr="00920DA7">
        <w:fldChar w:fldCharType="separate"/>
      </w:r>
      <w:r w:rsidR="003265D6" w:rsidRPr="00920DA7">
        <w:rPr>
          <w:noProof/>
        </w:rPr>
        <w:t>(Chiappero-Martinentti, Jacobi, &amp; Signorelli, 2015)</w:t>
      </w:r>
      <w:r w:rsidR="00A1701D" w:rsidRPr="00920DA7">
        <w:fldChar w:fldCharType="end"/>
      </w:r>
      <w:r w:rsidR="003265D6">
        <w:t>.</w:t>
      </w:r>
    </w:p>
    <w:p w14:paraId="3575CCA1" w14:textId="77777777" w:rsidR="00746754" w:rsidRDefault="00746754" w:rsidP="003265D6">
      <w:pPr>
        <w:spacing w:after="0" w:line="240" w:lineRule="auto"/>
        <w:ind w:firstLine="426"/>
        <w:jc w:val="both"/>
        <w:rPr>
          <w:b/>
        </w:rPr>
      </w:pPr>
    </w:p>
    <w:p w14:paraId="03381296" w14:textId="77777777" w:rsidR="00746754" w:rsidRDefault="007D1F3A" w:rsidP="00746754">
      <w:pPr>
        <w:spacing w:after="120" w:line="240" w:lineRule="auto"/>
        <w:jc w:val="both"/>
        <w:rPr>
          <w:b/>
        </w:rPr>
      </w:pPr>
      <w:r>
        <w:rPr>
          <w:b/>
        </w:rPr>
        <w:t>3</w:t>
      </w:r>
      <w:r w:rsidR="009017C6">
        <w:rPr>
          <w:b/>
        </w:rPr>
        <w:t xml:space="preserve">. RESEARCH METHODS or </w:t>
      </w:r>
      <w:r w:rsidR="006D7E13" w:rsidRPr="006D7E13">
        <w:rPr>
          <w:b/>
        </w:rPr>
        <w:t>METHOD</w:t>
      </w:r>
      <w:r w:rsidR="009017C6">
        <w:rPr>
          <w:b/>
        </w:rPr>
        <w:t>OLOGY</w:t>
      </w:r>
    </w:p>
    <w:p w14:paraId="192DACA8" w14:textId="77777777" w:rsidR="00746754" w:rsidRPr="007A69FD" w:rsidRDefault="00746754" w:rsidP="00746754">
      <w:pPr>
        <w:spacing w:after="0" w:line="240" w:lineRule="auto"/>
        <w:ind w:firstLine="425"/>
        <w:jc w:val="both"/>
      </w:pPr>
      <w:r w:rsidRPr="007A69FD">
        <w:t xml:space="preserve">The research method used is quantitative. Quantitative methods are used to analyze economic indicators, namely the factors that influence the Jambi provisional development index for the period 2010-2020 </w:t>
      </w:r>
      <w:r w:rsidRPr="007A69FD">
        <w:rPr>
          <w:w w:val="95"/>
        </w:rPr>
        <w:t>.</w:t>
      </w:r>
      <w:r w:rsidR="00A1701D" w:rsidRPr="007A69FD">
        <w:rPr>
          <w:w w:val="95"/>
        </w:rPr>
        <w:fldChar w:fldCharType="begin" w:fldLock="1"/>
      </w:r>
      <w:r w:rsidRPr="007A69FD">
        <w:rPr>
          <w:w w:val="95"/>
        </w:rPr>
        <w:instrText>ADDIN CSL_CITATION {"citationItems":[{"id":"ITEM-1","itemData":{"author":[{"dropping-particle":"","family":"Gujarati","given":"Damodar N","non-dropping-particle":"","parse-names":false,"suffix":""}],"id":"ITEM-1","issued":{"date-parts":[["2006"]]},"publisher":"Erlangga","publisher-place":"Jakarta","title":"Dasar-Dasar Ekonometrika Jilid 1 (3rd ed)","type":"book"},"uris":["http://www.mendeley.com/documents/?uuid=3da7f457-9629-4852-a057-64228e5b7ef5"]},{"id":"ITEM-2","itemData":{"author":[{"dropping-particle":"","family":"Widarjono","given":"Agus","non-dropping-particle":"","parse-names":false,"suffix":""}],"id":"ITEM-2","issued":{"date-parts":[["2017"]]},"publisher":"Ekonisia Fakultas Ekonomi UII","publisher-place":"Yogyakarta","title":"EKONOMETKIKA : Teori dan Aplikasi Untuk Ekonomi dan Bisnis","type":"book"},"uris":["http://www.mendeley.com/documents/?uuid=9e691d6b-cd56-47f5-ba58-14d9bd667401"]}],"mendeley":{"formattedCitation":"(Gujarati, 2006; Widarjono, 2017)","plainTextFormattedCitation":"(Gujarati, 2006; Widarjono, 2017)","previouslyFormattedCitation":"(Gujarati, 2006; Widarjono, 2017)"},"properties":{"noteIndex":0},"schema":"https://github.com/citation-style-language/schema/raw/master/csl-citation.json"}</w:instrText>
      </w:r>
      <w:r w:rsidR="00A1701D" w:rsidRPr="007A69FD">
        <w:rPr>
          <w:w w:val="95"/>
        </w:rPr>
        <w:fldChar w:fldCharType="separate"/>
      </w:r>
      <w:r w:rsidRPr="007A69FD">
        <w:rPr>
          <w:noProof/>
          <w:w w:val="95"/>
        </w:rPr>
        <w:t>(Gujarati, 2006; Widarjono, 2017)</w:t>
      </w:r>
      <w:r w:rsidR="00A1701D" w:rsidRPr="007A69FD">
        <w:rPr>
          <w:w w:val="95"/>
        </w:rPr>
        <w:fldChar w:fldCharType="end"/>
      </w:r>
      <w:r w:rsidRPr="007A69FD">
        <w:t xml:space="preserve">. This research is deductive in nature, using concepts and theories to answer the problem formulation so that it can formulate and test the hypothesis. After the data is collected, the data is analyzed quantitatively </w:t>
      </w:r>
      <w:r w:rsidR="00A1701D" w:rsidRPr="007A69FD">
        <w:rPr>
          <w:w w:val="95"/>
        </w:rPr>
        <w:fldChar w:fldCharType="begin" w:fldLock="1"/>
      </w:r>
      <w:r w:rsidRPr="007A69FD">
        <w:rPr>
          <w:w w:val="95"/>
        </w:rPr>
        <w:instrText>ADDIN CSL_CITATION {"citationItems":[{"id":"ITEM-1","itemData":{"author":[{"dropping-particle":"","family":"Sugiyono","given":"","non-dropping-particle":"","parse-names":false,"suffix":""}],"id":"ITEM-1","issued":{"date-parts":[["2013"]]},"publisher":"Alfabeta","publisher-place":"Bandung","title":"Metode Penelitian Kuantitatif, Kualitatif, dan R &amp; D","type":"book"},"uris":["http://www.mendeley.com/documents/?uuid=8c7ba1bc-6397-4c97-bde6-7bddc8f82e64"]}],"mendeley":{"formattedCitation":"(Sugiyono, 2013)","plainTextFormattedCitation":"(Sugiyono, 2013)","previouslyFormattedCitation":"(Sugiyono, 2013)"},"properties":{"noteIndex":0},"schema":"https://github.com/citation-style-language/schema/raw/master/csl-citation.json"}</w:instrText>
      </w:r>
      <w:r w:rsidR="00A1701D" w:rsidRPr="007A69FD">
        <w:rPr>
          <w:w w:val="95"/>
        </w:rPr>
        <w:fldChar w:fldCharType="separate"/>
      </w:r>
      <w:r w:rsidRPr="007A69FD">
        <w:rPr>
          <w:noProof/>
          <w:w w:val="95"/>
        </w:rPr>
        <w:t>(Sugiyono, 2013)</w:t>
      </w:r>
      <w:r w:rsidR="00A1701D" w:rsidRPr="007A69FD">
        <w:rPr>
          <w:w w:val="95"/>
        </w:rPr>
        <w:fldChar w:fldCharType="end"/>
      </w:r>
      <w:r w:rsidRPr="007A69FD">
        <w:t xml:space="preserve">. Then it will produce empirical support based on observations and experiments in the form of numbers on economic </w:t>
      </w:r>
      <w:r w:rsidRPr="007A69FD">
        <w:lastRenderedPageBreak/>
        <w:t xml:space="preserve">theory </w:t>
      </w:r>
      <w:r w:rsidR="00A1701D" w:rsidRPr="007A69FD">
        <w:rPr>
          <w:w w:val="95"/>
        </w:rPr>
        <w:fldChar w:fldCharType="begin" w:fldLock="1"/>
      </w:r>
      <w:r w:rsidR="0056249B" w:rsidRPr="007A69FD">
        <w:rPr>
          <w:w w:val="95"/>
        </w:rPr>
        <w:instrText>ADDIN CSL_CITATION {"citationItems":[{"id":"ITEM-1","itemData":{"author":[{"dropping-particle":"","family":"Gujarati","given":"Damodar N","non-dropping-particle":"","parse-names":false,"suffix":""}],"id":"ITEM-1","issued":{"date-parts":[["2006"]]},"publisher":"Erlangga","publisher-place":"Jakarta","title":"Dasar-Dasar Ekonometrika Jilid 1 (3rd ed)","type":"book"},"uris":["http://www.mendeley.com/documents/?uuid=3da7f457-9629-4852-a057-64228e5b7ef5"]},{"id":"ITEM-2","itemData":{"author":[{"dropping-particle":"","family":"Widarjono","given":"Agus","non-dropping-particle":"","parse-names":false,"suffix":""}],"id":"ITEM-2","issued":{"date-parts":[["2017"]]},"publisher":"Ekonisia Fakultas Ekonomi UII","publisher-place":"Yogyakarta","title":"EKONOMETKIKA : Teori dan Aplikasi Untuk Ekonomi dan Bisnis","type":"book"},"uris":["http://www.mendeley.com/documents/?uuid=9e691d6b-cd56-47f5-ba58-14d9bd667401"]}],"mendeley":{"formattedCitation":"(Gujarati, 2006; Widarjono, 2017)","plainTextFormattedCitation":"(Gujarati, 2006; Widarjono, 2017)","previouslyFormattedCitation":"(Gujarati, 2006; Widarjono, 2017)"},"properties":{"noteIndex":0},"schema":"https://github.com/citation-style-language/schema/raw/master/csl-citation.json"}</w:instrText>
      </w:r>
      <w:r w:rsidR="00A1701D" w:rsidRPr="007A69FD">
        <w:rPr>
          <w:w w:val="95"/>
        </w:rPr>
        <w:fldChar w:fldCharType="separate"/>
      </w:r>
      <w:r w:rsidR="0056249B" w:rsidRPr="007A69FD">
        <w:rPr>
          <w:noProof/>
          <w:w w:val="95"/>
        </w:rPr>
        <w:t>(Gujarati, 2006; Widarjono, 2017)</w:t>
      </w:r>
      <w:r w:rsidR="00A1701D" w:rsidRPr="007A69FD">
        <w:rPr>
          <w:w w:val="95"/>
        </w:rPr>
        <w:fldChar w:fldCharType="end"/>
      </w:r>
      <w:r w:rsidR="0056249B" w:rsidRPr="007A69FD">
        <w:t>.</w:t>
      </w:r>
      <w:r w:rsidRPr="007A69FD">
        <w:t xml:space="preserve">The subjects of this study were residents of every district and city in Jambi province. Jambi province residents are all people who live in the Jambi province geographical area for 6 months or more for the purpose of settling in the 2010-2020 period. </w:t>
      </w:r>
    </w:p>
    <w:p w14:paraId="08456A4D" w14:textId="791A54EE" w:rsidR="00746754" w:rsidRDefault="00746754" w:rsidP="00746754">
      <w:pPr>
        <w:spacing w:after="0" w:line="240" w:lineRule="auto"/>
        <w:ind w:firstLine="425"/>
        <w:jc w:val="both"/>
      </w:pPr>
      <w:r>
        <w:t>The type of data in this study is secondary data which is data obtained and collected indirectly from the object under study. Secondary data sources were obtained from the official portal of the United Nation Development Program (UNDP) and the Central Statistics Agency (BPS). The secondary data used is panel in nature, with the intention that the data consists of a combination of time series and cross section data. The objects of this research are 9 districts and 2 cities in Jambi province for the period 2010-2020 from the official portal of th</w:t>
      </w:r>
      <w:r w:rsidR="007A69FD">
        <w:t>e Central Statistics Agency (CSA</w:t>
      </w:r>
      <w:r>
        <w:t>) Jambi Province. The data used are the human development i</w:t>
      </w:r>
      <w:r w:rsidR="007A69FD">
        <w:t>ndex (IPM), life expectancy (LE</w:t>
      </w:r>
      <w:r>
        <w:t>),</w:t>
      </w:r>
      <w:r w:rsidR="007A69FD">
        <w:t xml:space="preserve"> expected length of schooling (</w:t>
      </w:r>
      <w:r>
        <w:t>LS</w:t>
      </w:r>
      <w:r w:rsidR="007A69FD">
        <w:t>E</w:t>
      </w:r>
      <w:r>
        <w:t>)</w:t>
      </w:r>
      <w:r w:rsidR="007A69FD">
        <w:t>, average length of schooling (A</w:t>
      </w:r>
      <w:r>
        <w:t>LS) and per capita expenditure of Jambi Province in the 2010-2020 period.</w:t>
      </w:r>
      <w:r w:rsidR="006F2786">
        <w:t xml:space="preserve"> </w:t>
      </w:r>
      <w:r w:rsidR="00F03BA0" w:rsidRPr="00F03BA0">
        <w:t>Life expectancy (LE) represents the dimensions of long life and healthy life, long schooling expectancy (LSE) is the expected length of schooling at a certain age in the future while the average length of schooling is (ALS) is the length of schooling taken by the population at the age of 25 years and over. Expenditure per capita represents a decent standard of living through the consumption of household members</w:t>
      </w:r>
      <w:r w:rsidR="00F03BA0">
        <w:t xml:space="preserve"> </w:t>
      </w:r>
      <w:r w:rsidR="00F03BA0">
        <w:fldChar w:fldCharType="begin" w:fldLock="1"/>
      </w:r>
      <w:r w:rsidR="00F03BA0">
        <w:instrText>ADDIN CSL_CITATION {"citationItems":[{"id":"ITEM-1","itemData":{"author":[{"dropping-particle":"","family":"BPS","given":"","non-dropping-particle":"","parse-names":false,"suffix":""}],"container-title":"Berita Resmi Statistik","id":"ITEM-1","issue":"87","issued":{"date-parts":[["2021","11","15"]]},"page":"1-8","publisher-place":"Jakarta","title":"Indeks Pembangunan Manusia ( IPM ) Tahun 2021","type":"article-newspaper"},"uris":["http://www.mendeley.com/documents/?uuid=ed7dc367-d5ad-423b-a08b-28eeaabe5e62"]}],"mendeley":{"formattedCitation":"(BPS, 2021)","plainTextFormattedCitation":"(BPS, 2021)"},"properties":{"noteIndex":0},"schema":"https://github.com/citation-style-language/schema/raw/master/csl-citation.json"}</w:instrText>
      </w:r>
      <w:r w:rsidR="00F03BA0">
        <w:fldChar w:fldCharType="separate"/>
      </w:r>
      <w:r w:rsidR="00F03BA0" w:rsidRPr="00F03BA0">
        <w:rPr>
          <w:noProof/>
        </w:rPr>
        <w:t>(BPS, 2021)</w:t>
      </w:r>
      <w:r w:rsidR="00F03BA0">
        <w:fldChar w:fldCharType="end"/>
      </w:r>
      <w:r w:rsidR="00F03BA0" w:rsidRPr="00F03BA0">
        <w:t>.</w:t>
      </w:r>
    </w:p>
    <w:p w14:paraId="6A0BB81A" w14:textId="77777777" w:rsidR="00746754" w:rsidRDefault="00746754" w:rsidP="00746754">
      <w:pPr>
        <w:spacing w:after="0" w:line="240" w:lineRule="auto"/>
        <w:ind w:firstLine="425"/>
        <w:jc w:val="both"/>
      </w:pPr>
      <w:r>
        <w:t xml:space="preserve">The data collection technique used in this research is the study of documentation and literature. The literature study comes from written documentation on the official portal of the government agency United Nations Development Program (UNDP) and the Central Statistics Agency (BPS) in the form of secondary data. Data analysis is used with an econometric approach as the basis for research in accordance with economic theory that underlies economic problems </w:t>
      </w:r>
      <w:r w:rsidR="00A1701D" w:rsidRPr="0056249B">
        <w:rPr>
          <w:w w:val="95"/>
        </w:rPr>
        <w:fldChar w:fldCharType="begin" w:fldLock="1"/>
      </w:r>
      <w:r w:rsidR="0056249B" w:rsidRPr="0056249B">
        <w:rPr>
          <w:w w:val="95"/>
        </w:rPr>
        <w:instrText>ADDIN CSL_CITATION {"citationItems":[{"id":"ITEM-1","itemData":{"author":[{"dropping-particle":"","family":"Widarjono","given":"Agus","non-dropping-particle":"","parse-names":false,"suffix":""}],"id":"ITEM-1","issued":{"date-parts":[["2017"]]},"publisher":"Ekonisia Fakultas Ekonomi UII","publisher-place":"Yogyakarta","title":"EKONOMETKIKA : Teori dan Aplikasi Untuk Ekonomi dan Bisnis","type":"book"},"uris":["http://www.mendeley.com/documents/?uuid=9e691d6b-cd56-47f5-ba58-14d9bd667401"]}],"mendeley":{"formattedCitation":"(Widarjono, 2017)","plainTextFormattedCitation":"(Widarjono, 2017)","previouslyFormattedCitation":"(Widarjono, 2017)"},"properties":{"noteIndex":0},"schema":"https://github.com/citation-style-language/schema/raw/master/csl-citation.json"}</w:instrText>
      </w:r>
      <w:r w:rsidR="00A1701D" w:rsidRPr="0056249B">
        <w:rPr>
          <w:w w:val="95"/>
        </w:rPr>
        <w:fldChar w:fldCharType="separate"/>
      </w:r>
      <w:r w:rsidR="0056249B" w:rsidRPr="0056249B">
        <w:rPr>
          <w:noProof/>
          <w:w w:val="95"/>
        </w:rPr>
        <w:t>(Widarjono, 2017)</w:t>
      </w:r>
      <w:r w:rsidR="00A1701D" w:rsidRPr="0056249B">
        <w:rPr>
          <w:w w:val="95"/>
        </w:rPr>
        <w:fldChar w:fldCharType="end"/>
      </w:r>
      <w:r>
        <w:t xml:space="preserve">. The estimation of the econometric model used is panel data (pooled data) which is a combination of time series and cross-sectional data. section) </w:t>
      </w:r>
      <w:r w:rsidR="00A1701D" w:rsidRPr="0056249B">
        <w:rPr>
          <w:w w:val="95"/>
        </w:rPr>
        <w:fldChar w:fldCharType="begin" w:fldLock="1"/>
      </w:r>
      <w:r w:rsidR="0056249B" w:rsidRPr="0056249B">
        <w:rPr>
          <w:w w:val="95"/>
        </w:rPr>
        <w:instrText>ADDIN CSL_CITATION {"citationItems":[{"id":"ITEM-1","itemData":{"ISBN":"0130661899","abstract":"Pearson","author":[{"dropping-particle":"","family":"Greene","given":"W H","non-dropping-particle":"","parse-names":false,"suffix":""}],"id":"ITEM-1","issued":{"date-parts":[["2003"]]},"number-of-pages":"1-828","publisher":"Pearson Education Inc","publisher-place":"New Jersey","title":"Econometric Analysis 4th Ed.","type":"book"},"uris":["http://www.mendeley.com/documents/?uuid=badea8fc-cfef-4f32-ad35-defceff983fe"]}],"mendeley":{"formattedCitation":"(Greene, 2003)","plainTextFormattedCitation":"(Greene, 2003)","previouslyFormattedCitation":"(Greene, 2003)"},"properties":{"noteIndex":0},"schema":"https://github.com/citation-style-language/schema/raw/master/csl-citation.json"}</w:instrText>
      </w:r>
      <w:r w:rsidR="00A1701D" w:rsidRPr="0056249B">
        <w:rPr>
          <w:w w:val="95"/>
        </w:rPr>
        <w:fldChar w:fldCharType="separate"/>
      </w:r>
      <w:r w:rsidR="0056249B" w:rsidRPr="0056249B">
        <w:rPr>
          <w:noProof/>
          <w:w w:val="95"/>
        </w:rPr>
        <w:t>(Greene, 2003)</w:t>
      </w:r>
      <w:r w:rsidR="00A1701D" w:rsidRPr="0056249B">
        <w:rPr>
          <w:w w:val="95"/>
        </w:rPr>
        <w:fldChar w:fldCharType="end"/>
      </w:r>
      <w:r w:rsidR="0056249B">
        <w:rPr>
          <w:w w:val="95"/>
        </w:rPr>
        <w:t>.</w:t>
      </w:r>
    </w:p>
    <w:p w14:paraId="5EA2BD1F" w14:textId="77777777" w:rsidR="004B29DD" w:rsidRDefault="00746754" w:rsidP="00746754">
      <w:pPr>
        <w:spacing w:after="0" w:line="240" w:lineRule="auto"/>
        <w:ind w:firstLine="425"/>
        <w:jc w:val="both"/>
      </w:pPr>
      <w:r>
        <w:t xml:space="preserve">Panel data array of a group of cross-sectional units observed over time. Panel data depicting the time dimension implies a relatively small number of cross-sectional units and shows a group of units observed over a relatively long period of time </w:t>
      </w:r>
      <w:r w:rsidR="00A1701D" w:rsidRPr="0056249B">
        <w:rPr>
          <w:w w:val="95"/>
        </w:rPr>
        <w:fldChar w:fldCharType="begin" w:fldLock="1"/>
      </w:r>
      <w:r w:rsidR="0056249B" w:rsidRPr="0056249B">
        <w:rPr>
          <w:w w:val="95"/>
        </w:rPr>
        <w:instrText>ADDIN CSL_CITATION {"citationItems":[{"id":"ITEM-1","itemData":{"ISBN":"9780470626733","author":[{"dropping-particle":"","family":"Hill","given":"R. Carter","non-dropping-particle":"","parse-names":false,"suffix":""},{"dropping-particle":"","family":"Griffith","given":"William E","non-dropping-particle":"","parse-names":false,"suffix":""},{"dropping-particle":"","family":"Lim","given":"Guay C","non-dropping-particle":"","parse-names":false,"suffix":""}],"id":"ITEM-1","issued":{"date-parts":[["2011"]]},"number-of-pages":"68-70","publisher":"John Wiley &amp; Sons, Inc","title":"Principles of Econometrics (4th ed.).","type":"book"},"uris":["http://www.mendeley.com/documents/?uuid=22391574-5b9e-459d-b0fd-e48574d904d7"]}],"mendeley":{"formattedCitation":"(Hill, Griffith, &amp; Lim, 2011)","plainTextFormattedCitation":"(Hill, Griffith, &amp; Lim, 2011)","previouslyFormattedCitation":"(Hill, Griffith, &amp; Lim, 2011)"},"properties":{"noteIndex":0},"schema":"https://github.com/citation-style-language/schema/raw/master/csl-citation.json"}</w:instrText>
      </w:r>
      <w:r w:rsidR="00A1701D" w:rsidRPr="0056249B">
        <w:rPr>
          <w:w w:val="95"/>
        </w:rPr>
        <w:fldChar w:fldCharType="separate"/>
      </w:r>
      <w:r w:rsidR="0056249B" w:rsidRPr="0056249B">
        <w:rPr>
          <w:noProof/>
          <w:w w:val="95"/>
        </w:rPr>
        <w:t>(Hill, Griffith, &amp; Lim, 2011)</w:t>
      </w:r>
      <w:r w:rsidR="00A1701D" w:rsidRPr="0056249B">
        <w:rPr>
          <w:w w:val="95"/>
        </w:rPr>
        <w:fldChar w:fldCharType="end"/>
      </w:r>
      <w:r w:rsidR="0056249B" w:rsidRPr="0056249B">
        <w:rPr>
          <w:w w:val="95"/>
        </w:rPr>
        <w:t>.</w:t>
      </w:r>
      <w:r>
        <w:t xml:space="preserve">Panel data can be used to assist repeated observations through dynamic exploration </w:t>
      </w:r>
      <w:r w:rsidR="00A1701D" w:rsidRPr="0056249B">
        <w:rPr>
          <w:w w:val="95"/>
        </w:rPr>
        <w:fldChar w:fldCharType="begin" w:fldLock="1"/>
      </w:r>
      <w:r w:rsidR="0056249B" w:rsidRPr="0056249B">
        <w:rPr>
          <w:w w:val="95"/>
        </w:rPr>
        <w:instrText>ADDIN CSL_CITATION {"citationItems":[{"id":"ITEM-1","itemData":{"author":[{"dropping-particle":"","family":"Firdaus","given":"M","non-dropping-particle":"","parse-names":false,"suffix":""},{"dropping-particle":"","family":"Irawan","given":"T","non-dropping-particle":"","parse-names":false,"suffix":""}],"id":"ITEM-1","issued":{"date-parts":[["2009"]]},"publisher":"Universitas Brawijaya","publisher-place":"Malang","title":"Modul I Ekonometrika Untuk Data Panel (Aplikasi Eviews Dan Stata)","type":"book"},"uris":["http://www.mendeley.com/documents/?uuid=ecae8e4b-641d-4ca7-af2f-c298ac9dcbc2"]}],"mendeley":{"formattedCitation":"(Firdaus &amp; Irawan, 2009)","plainTextFormattedCitation":"(Firdaus &amp; Irawan, 2009)","previouslyFormattedCitation":"(Firdaus &amp; Irawan, 2009)"},"properties":{"noteIndex":0},"schema":"https://github.com/citation-style-language/schema/raw/master/csl-citation.json"}</w:instrText>
      </w:r>
      <w:r w:rsidR="00A1701D" w:rsidRPr="0056249B">
        <w:rPr>
          <w:w w:val="95"/>
        </w:rPr>
        <w:fldChar w:fldCharType="separate"/>
      </w:r>
      <w:r w:rsidR="0056249B" w:rsidRPr="0056249B">
        <w:rPr>
          <w:noProof/>
          <w:w w:val="95"/>
        </w:rPr>
        <w:t>(Firdaus &amp; Irawan, 2009)</w:t>
      </w:r>
      <w:r w:rsidR="00A1701D" w:rsidRPr="0056249B">
        <w:rPr>
          <w:w w:val="95"/>
        </w:rPr>
        <w:fldChar w:fldCharType="end"/>
      </w:r>
      <w:r>
        <w:t>. In accordance with the definition of panel data in the form of a combination of cross-sectional data and time series, panel data regression has multiple subscripts on its variables, namely:</w:t>
      </w:r>
    </w:p>
    <w:p w14:paraId="243E3BE2" w14:textId="77777777" w:rsidR="0056249B" w:rsidRPr="00A57BCC" w:rsidRDefault="0056249B" w:rsidP="00746754">
      <w:pPr>
        <w:spacing w:after="0" w:line="240" w:lineRule="auto"/>
        <w:ind w:firstLine="425"/>
        <w:jc w:val="both"/>
      </w:pPr>
    </w:p>
    <w:p w14:paraId="028C1CFB" w14:textId="77777777" w:rsidR="00A57BCC" w:rsidRPr="00A57BCC" w:rsidRDefault="00A35E20" w:rsidP="00A57BCC">
      <w:pPr>
        <w:spacing w:line="264" w:lineRule="auto"/>
        <w:jc w:val="center"/>
        <w:rPr>
          <w:rFonts w:eastAsiaTheme="minorEastAsia"/>
          <w:spacing w:val="-9"/>
        </w:rPr>
      </w:pPr>
      <m:oMathPara>
        <m:oMath>
          <m:sSub>
            <m:sSubPr>
              <m:ctrlPr>
                <w:rPr>
                  <w:rFonts w:ascii="Cambria Math" w:hAnsi="Cambria Math"/>
                  <w:i/>
                  <w:spacing w:val="-9"/>
                </w:rPr>
              </m:ctrlPr>
            </m:sSubPr>
            <m:e>
              <m:r>
                <w:rPr>
                  <w:rFonts w:ascii="Cambria Math" w:hAnsi="Cambria Math"/>
                  <w:spacing w:val="-9"/>
                </w:rPr>
                <m:t>y</m:t>
              </m:r>
            </m:e>
            <m:sub>
              <m:r>
                <w:rPr>
                  <w:rFonts w:ascii="Cambria Math" w:hAnsi="Cambria Math"/>
                  <w:spacing w:val="-9"/>
                </w:rPr>
                <m:t>it</m:t>
              </m:r>
            </m:sub>
          </m:sSub>
          <m:r>
            <w:rPr>
              <w:rFonts w:ascii="Cambria Math" w:hAnsi="Cambria Math"/>
              <w:spacing w:val="-9"/>
            </w:rPr>
            <m:t>= α+</m:t>
          </m:r>
          <m:sSub>
            <m:sSubPr>
              <m:ctrlPr>
                <w:rPr>
                  <w:rFonts w:ascii="Cambria Math" w:hAnsi="Cambria Math"/>
                  <w:i/>
                  <w:spacing w:val="-9"/>
                </w:rPr>
              </m:ctrlPr>
            </m:sSubPr>
            <m:e>
              <m:r>
                <w:rPr>
                  <w:rFonts w:ascii="Cambria Math" w:hAnsi="Cambria Math"/>
                  <w:spacing w:val="-9"/>
                </w:rPr>
                <m:t>β</m:t>
              </m:r>
            </m:e>
            <m:sub>
              <m:r>
                <w:rPr>
                  <w:rFonts w:ascii="Cambria Math" w:hAnsi="Cambria Math"/>
                  <w:spacing w:val="-9"/>
                </w:rPr>
                <m:t>1</m:t>
              </m:r>
            </m:sub>
          </m:sSub>
          <m:sSub>
            <m:sSubPr>
              <m:ctrlPr>
                <w:rPr>
                  <w:rFonts w:ascii="Cambria Math" w:hAnsi="Cambria Math"/>
                  <w:i/>
                  <w:spacing w:val="-9"/>
                </w:rPr>
              </m:ctrlPr>
            </m:sSubPr>
            <m:e>
              <m:r>
                <w:rPr>
                  <w:rFonts w:ascii="Cambria Math" w:hAnsi="Cambria Math"/>
                  <w:spacing w:val="-9"/>
                </w:rPr>
                <m:t>UUH</m:t>
              </m:r>
            </m:e>
            <m:sub>
              <m:r>
                <w:rPr>
                  <w:rFonts w:ascii="Cambria Math" w:hAnsi="Cambria Math"/>
                  <w:spacing w:val="-9"/>
                </w:rPr>
                <m:t>it</m:t>
              </m:r>
            </m:sub>
          </m:sSub>
          <m:r>
            <w:rPr>
              <w:rFonts w:ascii="Cambria Math" w:hAnsi="Cambria Math"/>
              <w:spacing w:val="-9"/>
            </w:rPr>
            <m:t xml:space="preserve">+ </m:t>
          </m:r>
          <m:sSub>
            <m:sSubPr>
              <m:ctrlPr>
                <w:rPr>
                  <w:rFonts w:ascii="Cambria Math" w:hAnsi="Cambria Math"/>
                  <w:i/>
                  <w:spacing w:val="-9"/>
                </w:rPr>
              </m:ctrlPr>
            </m:sSubPr>
            <m:e>
              <m:r>
                <w:rPr>
                  <w:rFonts w:ascii="Cambria Math" w:hAnsi="Cambria Math"/>
                  <w:spacing w:val="-9"/>
                </w:rPr>
                <m:t>β</m:t>
              </m:r>
            </m:e>
            <m:sub>
              <m:r>
                <w:rPr>
                  <w:rFonts w:ascii="Cambria Math" w:hAnsi="Cambria Math"/>
                  <w:spacing w:val="-9"/>
                </w:rPr>
                <m:t>2</m:t>
              </m:r>
            </m:sub>
          </m:sSub>
          <m:sSub>
            <m:sSubPr>
              <m:ctrlPr>
                <w:rPr>
                  <w:rFonts w:ascii="Cambria Math" w:hAnsi="Cambria Math"/>
                  <w:i/>
                  <w:spacing w:val="-9"/>
                </w:rPr>
              </m:ctrlPr>
            </m:sSubPr>
            <m:e>
              <m:r>
                <w:rPr>
                  <w:rFonts w:ascii="Cambria Math" w:hAnsi="Cambria Math"/>
                  <w:spacing w:val="-9"/>
                </w:rPr>
                <m:t>HLS</m:t>
              </m:r>
            </m:e>
            <m:sub>
              <m:r>
                <w:rPr>
                  <w:rFonts w:ascii="Cambria Math" w:hAnsi="Cambria Math"/>
                  <w:spacing w:val="-9"/>
                </w:rPr>
                <m:t>it</m:t>
              </m:r>
            </m:sub>
          </m:sSub>
          <m:r>
            <w:rPr>
              <w:rFonts w:ascii="Cambria Math" w:hAnsi="Cambria Math"/>
              <w:spacing w:val="-9"/>
            </w:rPr>
            <m:t xml:space="preserve">+ </m:t>
          </m:r>
          <m:sSub>
            <m:sSubPr>
              <m:ctrlPr>
                <w:rPr>
                  <w:rFonts w:ascii="Cambria Math" w:hAnsi="Cambria Math"/>
                  <w:i/>
                  <w:spacing w:val="-9"/>
                </w:rPr>
              </m:ctrlPr>
            </m:sSubPr>
            <m:e>
              <m:r>
                <w:rPr>
                  <w:rFonts w:ascii="Cambria Math" w:hAnsi="Cambria Math"/>
                  <w:spacing w:val="-9"/>
                </w:rPr>
                <m:t>β</m:t>
              </m:r>
            </m:e>
            <m:sub>
              <m:r>
                <w:rPr>
                  <w:rFonts w:ascii="Cambria Math" w:hAnsi="Cambria Math"/>
                  <w:spacing w:val="-9"/>
                </w:rPr>
                <m:t>3</m:t>
              </m:r>
            </m:sub>
          </m:sSub>
          <m:sSub>
            <m:sSubPr>
              <m:ctrlPr>
                <w:rPr>
                  <w:rFonts w:ascii="Cambria Math" w:hAnsi="Cambria Math"/>
                  <w:i/>
                  <w:spacing w:val="-9"/>
                </w:rPr>
              </m:ctrlPr>
            </m:sSubPr>
            <m:e>
              <m:r>
                <w:rPr>
                  <w:rFonts w:ascii="Cambria Math" w:hAnsi="Cambria Math"/>
                  <w:spacing w:val="-9"/>
                </w:rPr>
                <m:t>RLS</m:t>
              </m:r>
            </m:e>
            <m:sub>
              <m:r>
                <w:rPr>
                  <w:rFonts w:ascii="Cambria Math" w:hAnsi="Cambria Math"/>
                  <w:spacing w:val="-9"/>
                </w:rPr>
                <m:t>it</m:t>
              </m:r>
            </m:sub>
          </m:sSub>
          <m:r>
            <w:rPr>
              <w:rFonts w:ascii="Cambria Math" w:hAnsi="Cambria Math"/>
              <w:spacing w:val="-9"/>
            </w:rPr>
            <m:t xml:space="preserve">+ </m:t>
          </m:r>
          <m:sSub>
            <m:sSubPr>
              <m:ctrlPr>
                <w:rPr>
                  <w:rFonts w:ascii="Cambria Math" w:hAnsi="Cambria Math"/>
                  <w:i/>
                  <w:spacing w:val="-9"/>
                </w:rPr>
              </m:ctrlPr>
            </m:sSubPr>
            <m:e>
              <m:r>
                <w:rPr>
                  <w:rFonts w:ascii="Cambria Math" w:hAnsi="Cambria Math"/>
                  <w:spacing w:val="-9"/>
                </w:rPr>
                <m:t>β</m:t>
              </m:r>
            </m:e>
            <m:sub>
              <m:r>
                <w:rPr>
                  <w:rFonts w:ascii="Cambria Math" w:hAnsi="Cambria Math"/>
                  <w:spacing w:val="-9"/>
                </w:rPr>
                <m:t>4</m:t>
              </m:r>
            </m:sub>
          </m:sSub>
          <m:sSub>
            <m:sSubPr>
              <m:ctrlPr>
                <w:rPr>
                  <w:rFonts w:ascii="Cambria Math" w:hAnsi="Cambria Math"/>
                  <w:i/>
                  <w:spacing w:val="-9"/>
                </w:rPr>
              </m:ctrlPr>
            </m:sSubPr>
            <m:e>
              <m:r>
                <w:rPr>
                  <w:rFonts w:ascii="Cambria Math" w:hAnsi="Cambria Math"/>
                  <w:spacing w:val="-9"/>
                </w:rPr>
                <m:t>PNB</m:t>
              </m:r>
            </m:e>
            <m:sub>
              <m:r>
                <w:rPr>
                  <w:rFonts w:ascii="Cambria Math" w:hAnsi="Cambria Math"/>
                  <w:spacing w:val="-9"/>
                </w:rPr>
                <m:t>it</m:t>
              </m:r>
            </m:sub>
          </m:sSub>
          <m:r>
            <w:rPr>
              <w:rFonts w:ascii="Cambria Math" w:hAnsi="Cambria Math"/>
              <w:spacing w:val="-9"/>
            </w:rPr>
            <m:t xml:space="preserve">+ </m:t>
          </m:r>
          <m:sSub>
            <m:sSubPr>
              <m:ctrlPr>
                <w:rPr>
                  <w:rFonts w:ascii="Cambria Math" w:hAnsi="Cambria Math"/>
                  <w:i/>
                  <w:spacing w:val="-9"/>
                </w:rPr>
              </m:ctrlPr>
            </m:sSubPr>
            <m:e>
              <m:r>
                <w:rPr>
                  <w:rFonts w:ascii="Cambria Math" w:hAnsi="Cambria Math"/>
                  <w:spacing w:val="-9"/>
                </w:rPr>
                <m:t>ε</m:t>
              </m:r>
            </m:e>
            <m:sub>
              <m:r>
                <w:rPr>
                  <w:rFonts w:ascii="Cambria Math" w:hAnsi="Cambria Math"/>
                  <w:spacing w:val="-9"/>
                </w:rPr>
                <m:t>it</m:t>
              </m:r>
            </m:sub>
          </m:sSub>
        </m:oMath>
      </m:oMathPara>
    </w:p>
    <w:p w14:paraId="46D909A4" w14:textId="180D9DF9" w:rsidR="00BB7B82" w:rsidRPr="000801F4" w:rsidRDefault="00A57BCC" w:rsidP="000801F4">
      <w:pPr>
        <w:spacing w:line="264" w:lineRule="auto"/>
        <w:ind w:firstLine="426"/>
        <w:jc w:val="both"/>
        <w:rPr>
          <w:rFonts w:eastAsiaTheme="minorEastAsia" w:cs="Times New Roman"/>
          <w:spacing w:val="-9"/>
          <w:szCs w:val="20"/>
        </w:rPr>
      </w:pPr>
      <w:r w:rsidRPr="00A57BCC">
        <w:rPr>
          <w:rFonts w:eastAsiaTheme="minorEastAsia"/>
          <w:spacing w:val="-9"/>
        </w:rPr>
        <w:t>With the information α = constant (</w:t>
      </w:r>
      <w:proofErr w:type="spellStart"/>
      <w:r w:rsidRPr="00A57BCC">
        <w:rPr>
          <w:rFonts w:eastAsiaTheme="minorEastAsia"/>
          <w:spacing w:val="-9"/>
        </w:rPr>
        <w:t>intesept</w:t>
      </w:r>
      <w:proofErr w:type="spellEnd"/>
      <w:r w:rsidRPr="00A57BCC">
        <w:rPr>
          <w:rFonts w:eastAsiaTheme="minorEastAsia"/>
          <w:spacing w:val="-9"/>
        </w:rPr>
        <w:t>) Jambi Province</w:t>
      </w:r>
      <w:r w:rsidRPr="00CC4167">
        <w:rPr>
          <w:rFonts w:eastAsiaTheme="minorEastAsia"/>
          <w:spacing w:val="-9"/>
        </w:rPr>
        <w:t xml:space="preserve">, </w:t>
      </w:r>
      <m:oMath>
        <m:sSub>
          <m:sSubPr>
            <m:ctrlPr>
              <w:rPr>
                <w:rFonts w:ascii="Cambria Math" w:hAnsi="Cambria Math"/>
                <w:i/>
                <w:spacing w:val="-9"/>
              </w:rPr>
            </m:ctrlPr>
          </m:sSubPr>
          <m:e>
            <m:r>
              <w:rPr>
                <w:rFonts w:ascii="Cambria Math" w:hAnsi="Cambria Math"/>
                <w:spacing w:val="-9"/>
              </w:rPr>
              <m:t>y</m:t>
            </m:r>
          </m:e>
          <m:sub>
            <m:r>
              <w:rPr>
                <w:rFonts w:ascii="Cambria Math" w:hAnsi="Cambria Math"/>
                <w:spacing w:val="-9"/>
              </w:rPr>
              <m:t>it</m:t>
            </m:r>
          </m:sub>
        </m:sSub>
      </m:oMath>
      <w:r w:rsidRPr="00A57BCC">
        <w:rPr>
          <w:rFonts w:eastAsiaTheme="minorEastAsia"/>
          <w:spacing w:val="-9"/>
        </w:rPr>
        <w:t xml:space="preserve">= </w:t>
      </w:r>
      <w:r w:rsidR="00CC4167">
        <w:rPr>
          <w:rFonts w:eastAsiaTheme="minorEastAsia"/>
          <w:spacing w:val="-9"/>
        </w:rPr>
        <w:t xml:space="preserve">human development index (HDI)  </w:t>
      </w:r>
      <m:oMath>
        <m:sSub>
          <m:sSubPr>
            <m:ctrlPr>
              <w:rPr>
                <w:rFonts w:ascii="Cambria Math" w:hAnsi="Cambria Math"/>
                <w:i/>
                <w:spacing w:val="-9"/>
              </w:rPr>
            </m:ctrlPr>
          </m:sSubPr>
          <m:e>
            <m:r>
              <w:rPr>
                <w:rFonts w:ascii="Cambria Math" w:hAnsi="Cambria Math"/>
                <w:spacing w:val="-9"/>
              </w:rPr>
              <m:t>β</m:t>
            </m:r>
          </m:e>
          <m:sub>
            <m:r>
              <w:rPr>
                <w:rFonts w:ascii="Cambria Math" w:hAnsi="Cambria Math"/>
                <w:spacing w:val="-9"/>
              </w:rPr>
              <m:t>1</m:t>
            </m:r>
          </m:sub>
        </m:sSub>
        <m:sSub>
          <m:sSubPr>
            <m:ctrlPr>
              <w:rPr>
                <w:rFonts w:ascii="Cambria Math" w:hAnsi="Cambria Math"/>
                <w:i/>
                <w:spacing w:val="-9"/>
              </w:rPr>
            </m:ctrlPr>
          </m:sSubPr>
          <m:e>
            <m:r>
              <w:rPr>
                <w:rFonts w:ascii="Cambria Math" w:hAnsi="Cambria Math"/>
                <w:spacing w:val="-9"/>
              </w:rPr>
              <m:t>UUH</m:t>
            </m:r>
          </m:e>
          <m:sub>
            <m:r>
              <w:rPr>
                <w:rFonts w:ascii="Cambria Math" w:hAnsi="Cambria Math"/>
                <w:spacing w:val="-9"/>
              </w:rPr>
              <m:t>it</m:t>
            </m:r>
          </m:sub>
        </m:sSub>
      </m:oMath>
      <w:r w:rsidRPr="00A57BCC">
        <w:rPr>
          <w:rFonts w:eastAsiaTheme="minorEastAsia"/>
          <w:spacing w:val="-9"/>
        </w:rPr>
        <w:t>= life expectancy,</w:t>
      </w:r>
      <m:oMath>
        <m:sSub>
          <m:sSubPr>
            <m:ctrlPr>
              <w:rPr>
                <w:rFonts w:ascii="Cambria Math" w:hAnsi="Cambria Math"/>
                <w:i/>
                <w:spacing w:val="-9"/>
                <w:szCs w:val="20"/>
              </w:rPr>
            </m:ctrlPr>
          </m:sSubPr>
          <m:e>
            <m:r>
              <w:rPr>
                <w:rFonts w:ascii="Cambria Math" w:hAnsi="Cambria Math"/>
                <w:spacing w:val="-9"/>
                <w:szCs w:val="20"/>
              </w:rPr>
              <m:t>β</m:t>
            </m:r>
          </m:e>
          <m:sub>
            <m:r>
              <w:rPr>
                <w:rFonts w:ascii="Cambria Math" w:hAnsi="Cambria Math"/>
                <w:spacing w:val="-9"/>
                <w:szCs w:val="20"/>
              </w:rPr>
              <m:t>2</m:t>
            </m:r>
          </m:sub>
        </m:sSub>
        <m:sSub>
          <m:sSubPr>
            <m:ctrlPr>
              <w:rPr>
                <w:rFonts w:ascii="Cambria Math" w:hAnsi="Cambria Math"/>
                <w:i/>
                <w:spacing w:val="-9"/>
                <w:szCs w:val="20"/>
              </w:rPr>
            </m:ctrlPr>
          </m:sSubPr>
          <m:e>
            <m:r>
              <w:rPr>
                <w:rFonts w:ascii="Cambria Math" w:hAnsi="Cambria Math"/>
                <w:spacing w:val="-9"/>
                <w:szCs w:val="20"/>
              </w:rPr>
              <m:t>HLS</m:t>
            </m:r>
          </m:e>
          <m:sub>
            <m:r>
              <w:rPr>
                <w:rFonts w:ascii="Cambria Math" w:hAnsi="Cambria Math"/>
                <w:spacing w:val="-9"/>
                <w:szCs w:val="20"/>
              </w:rPr>
              <m:t>it</m:t>
            </m:r>
          </m:sub>
        </m:sSub>
      </m:oMath>
      <w:r w:rsidRPr="00CC4167">
        <w:rPr>
          <w:rFonts w:eastAsiaTheme="minorEastAsia"/>
          <w:spacing w:val="-9"/>
          <w:sz w:val="24"/>
        </w:rPr>
        <w:t xml:space="preserve">= </w:t>
      </w:r>
      <w:r w:rsidRPr="00A57BCC">
        <w:rPr>
          <w:rFonts w:eastAsiaTheme="minorEastAsia"/>
          <w:spacing w:val="-9"/>
        </w:rPr>
        <w:t>expected years of schooling</w:t>
      </w:r>
      <w:r w:rsidR="00CC4167">
        <w:rPr>
          <w:rFonts w:eastAsiaTheme="minorEastAsia"/>
          <w:spacing w:val="-9"/>
        </w:rPr>
        <w:t xml:space="preserve">,  </w:t>
      </w:r>
      <m:oMath>
        <m:sSub>
          <m:sSubPr>
            <m:ctrlPr>
              <w:rPr>
                <w:rFonts w:ascii="Cambria Math" w:hAnsi="Cambria Math"/>
                <w:i/>
                <w:spacing w:val="-9"/>
                <w:szCs w:val="20"/>
              </w:rPr>
            </m:ctrlPr>
          </m:sSubPr>
          <m:e>
            <m:r>
              <w:rPr>
                <w:rFonts w:ascii="Cambria Math" w:hAnsi="Cambria Math"/>
                <w:spacing w:val="-9"/>
                <w:szCs w:val="20"/>
              </w:rPr>
              <m:t>β</m:t>
            </m:r>
          </m:e>
          <m:sub>
            <m:r>
              <w:rPr>
                <w:rFonts w:ascii="Cambria Math" w:hAnsi="Cambria Math"/>
                <w:spacing w:val="-9"/>
                <w:szCs w:val="20"/>
              </w:rPr>
              <m:t>3</m:t>
            </m:r>
          </m:sub>
        </m:sSub>
        <m:sSub>
          <m:sSubPr>
            <m:ctrlPr>
              <w:rPr>
                <w:rFonts w:ascii="Cambria Math" w:hAnsi="Cambria Math"/>
                <w:i/>
                <w:spacing w:val="-9"/>
                <w:szCs w:val="20"/>
              </w:rPr>
            </m:ctrlPr>
          </m:sSubPr>
          <m:e>
            <m:r>
              <w:rPr>
                <w:rFonts w:ascii="Cambria Math" w:hAnsi="Cambria Math"/>
                <w:spacing w:val="-9"/>
                <w:szCs w:val="20"/>
              </w:rPr>
              <m:t>RLS</m:t>
            </m:r>
          </m:e>
          <m:sub>
            <m:r>
              <w:rPr>
                <w:rFonts w:ascii="Cambria Math" w:hAnsi="Cambria Math"/>
                <w:spacing w:val="-9"/>
                <w:szCs w:val="20"/>
              </w:rPr>
              <m:t>it</m:t>
            </m:r>
          </m:sub>
        </m:sSub>
      </m:oMath>
      <w:r w:rsidRPr="00CC4167">
        <w:rPr>
          <w:rFonts w:eastAsiaTheme="minorEastAsia"/>
          <w:spacing w:val="-9"/>
          <w:sz w:val="24"/>
        </w:rPr>
        <w:t xml:space="preserve">= </w:t>
      </w:r>
      <w:r w:rsidRPr="00A57BCC">
        <w:rPr>
          <w:rFonts w:eastAsiaTheme="minorEastAsia"/>
          <w:spacing w:val="-9"/>
        </w:rPr>
        <w:t xml:space="preserve">average length of schooling </w:t>
      </w:r>
      <m:oMath>
        <m:sSub>
          <m:sSubPr>
            <m:ctrlPr>
              <w:rPr>
                <w:rFonts w:ascii="Cambria Math" w:hAnsi="Cambria Math"/>
                <w:i/>
                <w:spacing w:val="-9"/>
                <w:szCs w:val="24"/>
              </w:rPr>
            </m:ctrlPr>
          </m:sSubPr>
          <m:e>
            <m:r>
              <w:rPr>
                <w:rFonts w:ascii="Cambria Math" w:hAnsi="Cambria Math"/>
                <w:spacing w:val="-9"/>
                <w:szCs w:val="24"/>
              </w:rPr>
              <m:t>β</m:t>
            </m:r>
          </m:e>
          <m:sub>
            <m:r>
              <w:rPr>
                <w:rFonts w:ascii="Cambria Math" w:hAnsi="Cambria Math"/>
                <w:spacing w:val="-9"/>
                <w:szCs w:val="24"/>
              </w:rPr>
              <m:t>4</m:t>
            </m:r>
          </m:sub>
        </m:sSub>
        <m:sSub>
          <m:sSubPr>
            <m:ctrlPr>
              <w:rPr>
                <w:rFonts w:ascii="Cambria Math" w:hAnsi="Cambria Math"/>
                <w:i/>
                <w:spacing w:val="-9"/>
                <w:szCs w:val="24"/>
              </w:rPr>
            </m:ctrlPr>
          </m:sSubPr>
          <m:e>
            <m:r>
              <w:rPr>
                <w:rFonts w:ascii="Cambria Math" w:hAnsi="Cambria Math"/>
                <w:spacing w:val="-9"/>
                <w:szCs w:val="24"/>
              </w:rPr>
              <m:t>PNB</m:t>
            </m:r>
          </m:e>
          <m:sub>
            <m:r>
              <w:rPr>
                <w:rFonts w:ascii="Cambria Math" w:hAnsi="Cambria Math"/>
                <w:spacing w:val="-9"/>
                <w:szCs w:val="24"/>
              </w:rPr>
              <m:t>it</m:t>
            </m:r>
          </m:sub>
        </m:sSub>
      </m:oMath>
      <w:r w:rsidRPr="00A57BCC">
        <w:rPr>
          <w:rFonts w:eastAsiaTheme="minorEastAsia"/>
          <w:spacing w:val="-9"/>
        </w:rPr>
        <w:t>= per capita expenditure</w:t>
      </w:r>
      <w:r w:rsidR="00CC4167">
        <w:rPr>
          <w:rFonts w:eastAsiaTheme="minorEastAsia"/>
          <w:spacing w:val="-9"/>
        </w:rPr>
        <w:t xml:space="preserve">,  </w:t>
      </w:r>
      <m:oMath>
        <m:sSub>
          <m:sSubPr>
            <m:ctrlPr>
              <w:rPr>
                <w:rFonts w:ascii="Cambria Math" w:hAnsi="Cambria Math"/>
                <w:i/>
                <w:spacing w:val="-9"/>
                <w:szCs w:val="20"/>
              </w:rPr>
            </m:ctrlPr>
          </m:sSubPr>
          <m:e>
            <m:r>
              <w:rPr>
                <w:rFonts w:ascii="Cambria Math" w:hAnsi="Cambria Math"/>
                <w:spacing w:val="-9"/>
                <w:szCs w:val="20"/>
              </w:rPr>
              <m:t>ε</m:t>
            </m:r>
          </m:e>
          <m:sub>
            <m:r>
              <w:rPr>
                <w:rFonts w:ascii="Cambria Math" w:hAnsi="Cambria Math"/>
                <w:spacing w:val="-9"/>
                <w:szCs w:val="20"/>
              </w:rPr>
              <m:t>it</m:t>
            </m:r>
          </m:sub>
        </m:sSub>
      </m:oMath>
      <w:r w:rsidRPr="00A57BCC">
        <w:rPr>
          <w:rFonts w:eastAsiaTheme="minorEastAsia"/>
          <w:spacing w:val="-9"/>
        </w:rPr>
        <w:t>= disturbance.</w:t>
      </w:r>
      <m:oMath>
        <m:sSub>
          <m:sSubPr>
            <m:ctrlPr>
              <w:rPr>
                <w:rFonts w:ascii="Cambria Math" w:hAnsi="Cambria Math"/>
                <w:i/>
                <w:spacing w:val="-9"/>
                <w:szCs w:val="20"/>
              </w:rPr>
            </m:ctrlPr>
          </m:sSubPr>
          <m:e>
            <m:r>
              <w:rPr>
                <w:rFonts w:ascii="Cambria Math" w:hAnsi="Cambria Math"/>
                <w:spacing w:val="-9"/>
                <w:szCs w:val="20"/>
              </w:rPr>
              <m:t>i</m:t>
            </m:r>
          </m:e>
          <m:sub/>
        </m:sSub>
      </m:oMath>
      <w:r w:rsidRPr="00A57BCC">
        <w:rPr>
          <w:rFonts w:eastAsiaTheme="minorEastAsia"/>
          <w:spacing w:val="-9"/>
        </w:rPr>
        <w:t xml:space="preserve">shows cross section data in the form of households, individuals, companies, countries, etc., while t indicates time. is a </w:t>
      </w:r>
      <w:proofErr w:type="gramStart"/>
      <w:r w:rsidRPr="00A57BCC">
        <w:rPr>
          <w:rFonts w:eastAsiaTheme="minorEastAsia"/>
          <w:spacing w:val="-9"/>
        </w:rPr>
        <w:t>scalar ,</w:t>
      </w:r>
      <w:proofErr w:type="gramEnd"/>
      <w:r w:rsidRPr="00A57BCC">
        <w:rPr>
          <w:rFonts w:eastAsiaTheme="minorEastAsia"/>
          <w:spacing w:val="-9"/>
        </w:rPr>
        <w:t xml:space="preserve"> is the coefficient of the variable × 1,2, … and </w:t>
      </w:r>
      <m:oMath>
        <m:sSub>
          <m:sSubPr>
            <m:ctrlPr>
              <w:rPr>
                <w:rFonts w:ascii="Cambria Math" w:hAnsi="Cambria Math" w:cs="Times New Roman"/>
                <w:i/>
                <w:spacing w:val="-9"/>
                <w:szCs w:val="20"/>
              </w:rPr>
            </m:ctrlPr>
          </m:sSubPr>
          <m:e>
            <m:r>
              <w:rPr>
                <w:rFonts w:ascii="Cambria Math" w:hAnsi="Cambria Math" w:cs="Times New Roman"/>
                <w:spacing w:val="-9"/>
                <w:szCs w:val="20"/>
              </w:rPr>
              <m:t>X</m:t>
            </m:r>
          </m:e>
          <m:sub>
            <m:r>
              <w:rPr>
                <w:rFonts w:ascii="Cambria Math" w:hAnsi="Cambria Math" w:cs="Times New Roman"/>
                <w:spacing w:val="-9"/>
                <w:szCs w:val="20"/>
              </w:rPr>
              <m:t>it</m:t>
            </m:r>
          </m:sub>
        </m:sSub>
      </m:oMath>
      <w:r w:rsidRPr="00A57BCC">
        <w:rPr>
          <w:rFonts w:eastAsiaTheme="minorEastAsia"/>
          <w:spacing w:val="-9"/>
        </w:rPr>
        <w:t xml:space="preserve">is the observation </w:t>
      </w:r>
      <m:oMath>
        <m:sSub>
          <m:sSubPr>
            <m:ctrlPr>
              <w:rPr>
                <w:rFonts w:ascii="Cambria Math" w:hAnsi="Cambria Math"/>
                <w:i/>
                <w:spacing w:val="-9"/>
                <w:szCs w:val="20"/>
              </w:rPr>
            </m:ctrlPr>
          </m:sSubPr>
          <m:e>
            <m:r>
              <w:rPr>
                <w:rFonts w:ascii="Cambria Math" w:hAnsi="Cambria Math"/>
                <w:spacing w:val="-9"/>
                <w:szCs w:val="20"/>
              </w:rPr>
              <m:t>it</m:t>
            </m:r>
          </m:e>
          <m:sub/>
        </m:sSub>
      </m:oMath>
      <w:r w:rsidRPr="00A57BCC">
        <w:rPr>
          <w:rFonts w:eastAsiaTheme="minorEastAsia"/>
          <w:spacing w:val="-9"/>
        </w:rPr>
        <w:t xml:space="preserve">on the explanatory variable coefficient. Most of the panel data uses a one-way error component model for errors </w:t>
      </w:r>
      <w:r w:rsidR="00A1701D" w:rsidRPr="00CC4167">
        <w:rPr>
          <w:rFonts w:eastAsiaTheme="minorEastAsia" w:cs="Times New Roman"/>
          <w:spacing w:val="-9"/>
          <w:szCs w:val="20"/>
        </w:rPr>
        <w:fldChar w:fldCharType="begin" w:fldLock="1"/>
      </w:r>
      <w:r w:rsidR="00CC4167" w:rsidRPr="00CC4167">
        <w:rPr>
          <w:rFonts w:eastAsiaTheme="minorEastAsia" w:cs="Times New Roman"/>
          <w:spacing w:val="-9"/>
          <w:szCs w:val="20"/>
        </w:rPr>
        <w:instrText>ADDIN CSL_CITATION {"citationItems":[{"id":"ITEM-1","itemData":{"author":[{"dropping-particle":"","family":"Baltagi","given":"Badi H.","non-dropping-particle":"","parse-names":false,"suffix":""}],"edition":"3","id":"ITEM-1","issued":{"date-parts":[["2005"]]},"publisher":"John Wilwy &amp; Sons, Ltc","publisher-place":"United Stated of America","title":"Econometric Analysis of Panel Data","type":"book"},"uris":["http://www.mendeley.com/documents/?uuid=f2acfec1-a6f7-41c9-ab35-105790c8258d","http://www.mendeley.com/documents/?uuid=adc49c5c-5385-461f-9bca-a2528d22441e"]}],"mendeley":{"formattedCitation":"(Baltagi, 2005)","plainTextFormattedCitation":"(Baltagi, 2005)","previouslyFormattedCitation":"(Baltagi, 2005)"},"properties":{"noteIndex":0},"schema":"https://github.com/citation-style-language/schema/raw/master/csl-citation.json"}</w:instrText>
      </w:r>
      <w:r w:rsidR="00A1701D" w:rsidRPr="00CC4167">
        <w:rPr>
          <w:rFonts w:eastAsiaTheme="minorEastAsia" w:cs="Times New Roman"/>
          <w:spacing w:val="-9"/>
          <w:szCs w:val="20"/>
        </w:rPr>
        <w:fldChar w:fldCharType="separate"/>
      </w:r>
      <w:r w:rsidR="00CC4167" w:rsidRPr="00CC4167">
        <w:rPr>
          <w:rFonts w:eastAsiaTheme="minorEastAsia" w:cs="Times New Roman"/>
          <w:noProof/>
          <w:spacing w:val="-9"/>
          <w:szCs w:val="20"/>
        </w:rPr>
        <w:t>(Baltagi, 2005)</w:t>
      </w:r>
      <w:r w:rsidR="00A1701D" w:rsidRPr="00CC4167">
        <w:rPr>
          <w:rFonts w:eastAsiaTheme="minorEastAsia" w:cs="Times New Roman"/>
          <w:spacing w:val="-9"/>
          <w:szCs w:val="20"/>
        </w:rPr>
        <w:fldChar w:fldCharType="end"/>
      </w:r>
      <w:r w:rsidR="00CC4167" w:rsidRPr="00CC4167">
        <w:rPr>
          <w:rFonts w:eastAsiaTheme="minorEastAsia" w:cs="Times New Roman"/>
          <w:spacing w:val="-9"/>
          <w:szCs w:val="20"/>
        </w:rPr>
        <w:t>.Panel data regression uses the combination of time series data and cross data through model estimation methods, namely the common effect model, fixed effect and random effect. Panel data can be used to assist repeated observations through dynamic explorati</w:t>
      </w:r>
      <w:r w:rsidR="00070B88">
        <w:rPr>
          <w:rFonts w:eastAsiaTheme="minorEastAsia" w:cs="Times New Roman"/>
          <w:spacing w:val="-9"/>
          <w:szCs w:val="20"/>
        </w:rPr>
        <w:t xml:space="preserve">on </w:t>
      </w:r>
      <w:r w:rsidR="00A1701D" w:rsidRPr="00070B88">
        <w:rPr>
          <w:rFonts w:eastAsia="Century Schoolbook"/>
          <w:b/>
        </w:rPr>
        <w:fldChar w:fldCharType="begin" w:fldLock="1"/>
      </w:r>
      <w:r w:rsidR="00070B88" w:rsidRPr="00070B88">
        <w:rPr>
          <w:rFonts w:eastAsia="Century Schoolbook"/>
        </w:rPr>
        <w:instrText>ADDIN CSL_CITATION {"citationItems":[{"id":"ITEM-1","itemData":{"author":[{"dropping-particle":"","family":"Firdaus","given":"M","non-dropping-particle":"","parse-names":false,"suffix":""},{"dropping-particle":"","family":"Irawan","given":"T","non-dropping-particle":"","parse-names":false,"suffix":""}],"id":"ITEM-1","issued":{"date-parts":[["2009"]]},"publisher":"Universitas Brawijaya","publisher-place":"Malang","title":"Modul I Ekonometrika Untuk Data Panel (Aplikasi Eviews Dan Stata)","type":"book"},"uris":["http://www.mendeley.com/documents/?uuid=ecae8e4b-641d-4ca7-af2f-c298ac9dcbc2"]}],"mendeley":{"formattedCitation":"(Firdaus &amp; Irawan, 2009)","plainTextFormattedCitation":"(Firdaus &amp; Irawan, 2009)","previouslyFormattedCitation":"(Firdaus &amp; Irawan, 2009)"},"properties":{"noteIndex":0},"schema":"https://github.com/citation-style-language/schema/raw/master/csl-citation.json"}</w:instrText>
      </w:r>
      <w:r w:rsidR="00A1701D" w:rsidRPr="00070B88">
        <w:rPr>
          <w:rFonts w:eastAsia="Century Schoolbook"/>
          <w:b/>
        </w:rPr>
        <w:fldChar w:fldCharType="separate"/>
      </w:r>
      <w:r w:rsidR="00070B88" w:rsidRPr="00070B88">
        <w:rPr>
          <w:rFonts w:eastAsia="Century Schoolbook"/>
          <w:noProof/>
        </w:rPr>
        <w:t>(Firdaus &amp; Irawan, 2009)</w:t>
      </w:r>
      <w:r w:rsidR="00A1701D" w:rsidRPr="00070B88">
        <w:rPr>
          <w:rFonts w:eastAsia="Century Schoolbook"/>
          <w:b/>
        </w:rPr>
        <w:fldChar w:fldCharType="end"/>
      </w:r>
      <w:r w:rsidR="00CC4167" w:rsidRPr="00070B88">
        <w:rPr>
          <w:rFonts w:eastAsiaTheme="minorEastAsia"/>
          <w:spacing w:val="-9"/>
        </w:rPr>
        <w:t>.</w:t>
      </w:r>
      <w:r w:rsidR="00CC4167" w:rsidRPr="00CC4167">
        <w:rPr>
          <w:rFonts w:eastAsiaTheme="minorEastAsia" w:cs="Times New Roman"/>
          <w:spacing w:val="-9"/>
          <w:szCs w:val="20"/>
        </w:rPr>
        <w:t xml:space="preserve"> In choosing the correct model, there are several tests, namely the Chow, Hausman and Lagrange multiplier tests. The Lagrange multiplier test is used if the model selected in the Chow test is fixed effect and the model selected in the Hausman test is random effect. if the selected Chow and Hausman tests are fixed effects models, then there is no need to do a </w:t>
      </w:r>
      <w:proofErr w:type="spellStart"/>
      <w:r w:rsidR="00CC4167" w:rsidRPr="00CC4167">
        <w:rPr>
          <w:rFonts w:eastAsiaTheme="minorEastAsia" w:cs="Times New Roman"/>
          <w:spacing w:val="-9"/>
          <w:szCs w:val="20"/>
        </w:rPr>
        <w:t>lagrange</w:t>
      </w:r>
      <w:proofErr w:type="spellEnd"/>
      <w:r w:rsidR="00CC4167" w:rsidRPr="00CC4167">
        <w:rPr>
          <w:rFonts w:eastAsiaTheme="minorEastAsia" w:cs="Times New Roman"/>
          <w:spacing w:val="-9"/>
          <w:szCs w:val="20"/>
        </w:rPr>
        <w:t xml:space="preserve"> multiplier test.</w:t>
      </w:r>
    </w:p>
    <w:p w14:paraId="0F53B258" w14:textId="77777777" w:rsidR="002B3489" w:rsidRDefault="002B3489" w:rsidP="00BB7B82">
      <w:pPr>
        <w:spacing w:after="0" w:line="240" w:lineRule="auto"/>
        <w:outlineLvl w:val="0"/>
        <w:rPr>
          <w:b/>
        </w:rPr>
      </w:pPr>
    </w:p>
    <w:p w14:paraId="18EDA4AD" w14:textId="77777777" w:rsidR="00D2546D" w:rsidRDefault="0056249B" w:rsidP="00BB7B82">
      <w:pPr>
        <w:spacing w:after="0" w:line="360" w:lineRule="auto"/>
        <w:outlineLvl w:val="0"/>
        <w:rPr>
          <w:b/>
        </w:rPr>
      </w:pPr>
      <w:r>
        <w:rPr>
          <w:b/>
        </w:rPr>
        <w:t>4</w:t>
      </w:r>
      <w:r w:rsidR="00A87924">
        <w:rPr>
          <w:b/>
        </w:rPr>
        <w:t xml:space="preserve">. </w:t>
      </w:r>
      <w:r w:rsidR="00A7435D" w:rsidRPr="00A7435D">
        <w:rPr>
          <w:b/>
        </w:rPr>
        <w:t xml:space="preserve">RESULTS </w:t>
      </w:r>
      <w:r w:rsidR="00BB7B82">
        <w:rPr>
          <w:b/>
        </w:rPr>
        <w:t xml:space="preserve">AND DISCUSSION </w:t>
      </w:r>
    </w:p>
    <w:p w14:paraId="6FD337FE" w14:textId="75C172A9" w:rsidR="009023DE" w:rsidRDefault="00923B72" w:rsidP="009023DE">
      <w:pPr>
        <w:spacing w:after="0" w:line="240" w:lineRule="auto"/>
        <w:ind w:firstLine="425"/>
        <w:jc w:val="both"/>
        <w:outlineLvl w:val="0"/>
      </w:pPr>
      <w:r w:rsidRPr="00923B72">
        <w:t xml:space="preserve">Human development in Jambi province has an increasing trend from year to year. This can be seen from the increase in the human development index (HDI) of Jambi province. In 2020 with a population of 3,548,224, the HDI of Jambi province reached 71.29, an increase of 0.04 points when compared to 2019 which was 71.26. Based on BPS data, the largest increase occurred in 2016 by </w:t>
      </w:r>
      <w:r w:rsidRPr="00923B72">
        <w:lastRenderedPageBreak/>
        <w:t>0.93 points from the 2015 achievement of 68.69 to 69.62, in 2013 of 0.82 points from the 2012 achievement of 66.94 to 67.76. Meanwhile, growth in 2019 was 0.61 from 70.65 to 71.26. The development of Jambi province shows fluctuations but shows positive developments and needs deep attention</w:t>
      </w:r>
      <w:r w:rsidR="00A1701D">
        <w:fldChar w:fldCharType="begin" w:fldLock="1"/>
      </w:r>
      <w:r>
        <w:instrText>ADDIN CSL_CITATION {"citationItems":[{"id":"ITEM-1","itemData":{"URL":"https://www.bps.go.id/dynamictable/2020/02/18/1772/indeks-pembangunan-manusia-menurut-provinsi-metode-baru-2010-2019.html","accessed":{"date-parts":[["2021","5","5"]]},"author":[{"dropping-particle":"","family":"BPS","given":"","non-dropping-particle":"","parse-names":false,"suffix":""}],"id":"ITEM-1","issued":{"date-parts":[["2020"]]},"title":"Indeks Pembangunan Manusia Menurut Provinsi 2010-2019","type":"webpage"},"uris":["http://www.mendeley.com/documents/?uuid=5ceeae2d-f0af-430e-b13a-607104e33ceb"]}],"mendeley":{"formattedCitation":"(BPS, 2020)","plainTextFormattedCitation":"(BPS, 2020)","previouslyFormattedCitation":"(BPS, 2020)"},"properties":{"noteIndex":0},"schema":"https://github.com/citation-style-language/schema/raw/master/csl-citation.json"}</w:instrText>
      </w:r>
      <w:r w:rsidR="00A1701D">
        <w:fldChar w:fldCharType="separate"/>
      </w:r>
      <w:r w:rsidRPr="00291FE1">
        <w:rPr>
          <w:noProof/>
        </w:rPr>
        <w:t>(BPS, 2020)</w:t>
      </w:r>
      <w:r w:rsidR="00A1701D">
        <w:fldChar w:fldCharType="end"/>
      </w:r>
      <w:r w:rsidRPr="00923B72">
        <w:t>. Th</w:t>
      </w:r>
      <w:r>
        <w:t>is can be observed in Figure 1.</w:t>
      </w:r>
    </w:p>
    <w:p w14:paraId="70918CDA" w14:textId="5D721074" w:rsidR="000801F4" w:rsidRDefault="000801F4" w:rsidP="009023DE">
      <w:pPr>
        <w:spacing w:after="0" w:line="240" w:lineRule="auto"/>
        <w:ind w:firstLine="425"/>
        <w:jc w:val="both"/>
        <w:outlineLvl w:val="0"/>
      </w:pPr>
    </w:p>
    <w:p w14:paraId="7BEE186A" w14:textId="77777777" w:rsidR="000801F4" w:rsidRDefault="000801F4" w:rsidP="009023DE">
      <w:pPr>
        <w:spacing w:after="0" w:line="240" w:lineRule="auto"/>
        <w:ind w:firstLine="425"/>
        <w:jc w:val="both"/>
        <w:outlineLvl w:val="0"/>
      </w:pPr>
    </w:p>
    <w:p w14:paraId="0D4AD636" w14:textId="77777777" w:rsidR="000801F4" w:rsidRDefault="000801F4" w:rsidP="009023DE">
      <w:pPr>
        <w:spacing w:after="0" w:line="240" w:lineRule="auto"/>
        <w:ind w:firstLine="425"/>
        <w:jc w:val="both"/>
        <w:outlineLvl w:val="0"/>
      </w:pPr>
    </w:p>
    <w:p w14:paraId="1517FF7D" w14:textId="77777777" w:rsidR="002E3ECC" w:rsidRDefault="007219C7" w:rsidP="00F863BE">
      <w:pPr>
        <w:spacing w:after="0" w:line="240" w:lineRule="auto"/>
        <w:ind w:firstLine="425"/>
        <w:jc w:val="center"/>
        <w:outlineLvl w:val="0"/>
      </w:pPr>
      <w:r>
        <w:rPr>
          <w:noProof/>
        </w:rPr>
        <w:drawing>
          <wp:anchor distT="0" distB="0" distL="114300" distR="114300" simplePos="0" relativeHeight="251662336" behindDoc="0" locked="0" layoutInCell="1" allowOverlap="1" wp14:anchorId="2072874D" wp14:editId="64BD64D8">
            <wp:simplePos x="0" y="0"/>
            <wp:positionH relativeFrom="column">
              <wp:posOffset>541655</wp:posOffset>
            </wp:positionH>
            <wp:positionV relativeFrom="paragraph">
              <wp:posOffset>80010</wp:posOffset>
            </wp:positionV>
            <wp:extent cx="4686300" cy="1812290"/>
            <wp:effectExtent l="19050" t="0" r="19050" b="0"/>
            <wp:wrapNone/>
            <wp:docPr id="92" name="Chart 92">
              <a:extLst xmlns:a="http://schemas.openxmlformats.org/drawingml/2006/main">
                <a:ext uri="{FF2B5EF4-FFF2-40B4-BE49-F238E27FC236}">
                  <a16:creationId xmlns:a16="http://schemas.microsoft.com/office/drawing/2014/main" id="{FBD4880B-F21A-463E-B8A4-7DCB651FB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4B12DC2" w14:textId="77777777" w:rsidR="007219C7" w:rsidRDefault="007219C7" w:rsidP="00F863BE">
      <w:pPr>
        <w:spacing w:after="0" w:line="240" w:lineRule="auto"/>
        <w:outlineLvl w:val="0"/>
        <w:rPr>
          <w:b/>
        </w:rPr>
      </w:pPr>
    </w:p>
    <w:p w14:paraId="2C355307" w14:textId="77777777" w:rsidR="007219C7" w:rsidRDefault="007219C7" w:rsidP="00F863BE">
      <w:pPr>
        <w:spacing w:after="0" w:line="240" w:lineRule="auto"/>
        <w:outlineLvl w:val="0"/>
        <w:rPr>
          <w:b/>
        </w:rPr>
      </w:pPr>
    </w:p>
    <w:p w14:paraId="14BF0E6F" w14:textId="77777777" w:rsidR="007219C7" w:rsidRDefault="007219C7" w:rsidP="00F863BE">
      <w:pPr>
        <w:spacing w:after="0" w:line="240" w:lineRule="auto"/>
        <w:outlineLvl w:val="0"/>
        <w:rPr>
          <w:b/>
        </w:rPr>
      </w:pPr>
    </w:p>
    <w:p w14:paraId="00997878" w14:textId="77777777" w:rsidR="007219C7" w:rsidRDefault="007219C7" w:rsidP="00F863BE">
      <w:pPr>
        <w:spacing w:after="0" w:line="240" w:lineRule="auto"/>
        <w:outlineLvl w:val="0"/>
        <w:rPr>
          <w:b/>
        </w:rPr>
      </w:pPr>
    </w:p>
    <w:p w14:paraId="1AAF334B" w14:textId="77777777" w:rsidR="007219C7" w:rsidRDefault="007219C7" w:rsidP="00F863BE">
      <w:pPr>
        <w:spacing w:after="0" w:line="240" w:lineRule="auto"/>
        <w:outlineLvl w:val="0"/>
        <w:rPr>
          <w:b/>
        </w:rPr>
      </w:pPr>
    </w:p>
    <w:p w14:paraId="4E4F715B" w14:textId="77777777" w:rsidR="007219C7" w:rsidRDefault="007219C7" w:rsidP="00F863BE">
      <w:pPr>
        <w:spacing w:after="0" w:line="240" w:lineRule="auto"/>
        <w:outlineLvl w:val="0"/>
        <w:rPr>
          <w:b/>
        </w:rPr>
      </w:pPr>
    </w:p>
    <w:p w14:paraId="58BC7C5F" w14:textId="77777777" w:rsidR="007219C7" w:rsidRDefault="007219C7" w:rsidP="00F863BE">
      <w:pPr>
        <w:spacing w:after="0" w:line="240" w:lineRule="auto"/>
        <w:outlineLvl w:val="0"/>
        <w:rPr>
          <w:b/>
        </w:rPr>
      </w:pPr>
    </w:p>
    <w:p w14:paraId="51FC359B" w14:textId="77777777" w:rsidR="007219C7" w:rsidRDefault="007219C7" w:rsidP="00F863BE">
      <w:pPr>
        <w:spacing w:after="0" w:line="240" w:lineRule="auto"/>
        <w:outlineLvl w:val="0"/>
        <w:rPr>
          <w:b/>
        </w:rPr>
      </w:pPr>
    </w:p>
    <w:p w14:paraId="53A16721" w14:textId="77777777" w:rsidR="007219C7" w:rsidRDefault="007219C7" w:rsidP="00F863BE">
      <w:pPr>
        <w:spacing w:after="0" w:line="240" w:lineRule="auto"/>
        <w:outlineLvl w:val="0"/>
        <w:rPr>
          <w:b/>
        </w:rPr>
      </w:pPr>
    </w:p>
    <w:p w14:paraId="71FE4570" w14:textId="77777777" w:rsidR="007219C7" w:rsidRDefault="007219C7" w:rsidP="00F863BE">
      <w:pPr>
        <w:spacing w:after="0" w:line="240" w:lineRule="auto"/>
        <w:outlineLvl w:val="0"/>
        <w:rPr>
          <w:b/>
        </w:rPr>
      </w:pPr>
    </w:p>
    <w:p w14:paraId="42BABB78" w14:textId="77777777" w:rsidR="00F863BE" w:rsidRDefault="00F863BE" w:rsidP="00F863BE">
      <w:pPr>
        <w:spacing w:after="0" w:line="240" w:lineRule="auto"/>
        <w:outlineLvl w:val="0"/>
      </w:pPr>
      <w:r>
        <w:rPr>
          <w:b/>
        </w:rPr>
        <w:t>Figure 1.</w:t>
      </w:r>
      <w:r w:rsidR="00D8793A">
        <w:rPr>
          <w:b/>
        </w:rPr>
        <w:t xml:space="preserve"> </w:t>
      </w:r>
      <w:r w:rsidR="00850043" w:rsidRPr="00850043">
        <w:t>Jambi Province Human Development Index 2010-2020 Period</w:t>
      </w:r>
    </w:p>
    <w:p w14:paraId="10B6C616" w14:textId="77777777" w:rsidR="009023DE" w:rsidRDefault="00850043" w:rsidP="00F863BE">
      <w:pPr>
        <w:spacing w:after="0" w:line="240" w:lineRule="auto"/>
        <w:outlineLvl w:val="0"/>
        <w:rPr>
          <w:sz w:val="20"/>
          <w:szCs w:val="20"/>
        </w:rPr>
      </w:pPr>
      <w:r w:rsidRPr="00850043">
        <w:rPr>
          <w:b/>
          <w:sz w:val="20"/>
          <w:szCs w:val="20"/>
        </w:rPr>
        <w:t>Source</w:t>
      </w:r>
      <w:r w:rsidRPr="0061125E">
        <w:rPr>
          <w:sz w:val="20"/>
          <w:szCs w:val="20"/>
        </w:rPr>
        <w:t xml:space="preserve">: </w:t>
      </w:r>
      <w:r w:rsidR="00A1701D">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sidR="00A1701D">
        <w:rPr>
          <w:sz w:val="20"/>
          <w:szCs w:val="20"/>
        </w:rPr>
        <w:fldChar w:fldCharType="separate"/>
      </w:r>
      <w:r w:rsidRPr="00CF5E62">
        <w:rPr>
          <w:noProof/>
          <w:sz w:val="20"/>
          <w:szCs w:val="20"/>
        </w:rPr>
        <w:t>BPS Provinsi Jambi, 2020a</w:t>
      </w:r>
      <w:r w:rsidR="00A1701D">
        <w:rPr>
          <w:sz w:val="20"/>
          <w:szCs w:val="20"/>
        </w:rPr>
        <w:fldChar w:fldCharType="end"/>
      </w:r>
    </w:p>
    <w:p w14:paraId="4ED9E526" w14:textId="77777777" w:rsidR="007219C7" w:rsidRPr="007219C7" w:rsidRDefault="007219C7" w:rsidP="00F863BE">
      <w:pPr>
        <w:spacing w:after="0" w:line="240" w:lineRule="auto"/>
        <w:outlineLvl w:val="0"/>
        <w:rPr>
          <w:sz w:val="20"/>
          <w:szCs w:val="20"/>
        </w:rPr>
      </w:pPr>
    </w:p>
    <w:p w14:paraId="1838D4A0" w14:textId="77777777" w:rsidR="00D8793A" w:rsidRPr="00D8793A" w:rsidRDefault="00D8793A" w:rsidP="00D8793A">
      <w:pPr>
        <w:spacing w:after="0" w:line="240" w:lineRule="auto"/>
        <w:ind w:firstLine="426"/>
        <w:jc w:val="both"/>
        <w:outlineLvl w:val="0"/>
      </w:pPr>
      <w:r w:rsidRPr="00D8793A">
        <w:t>Jambi province's average HDI rose by less than 1.00 percent per year. Figure 1 shows that the level of human development has reached the high category with an HDI growth rate of less than 1.00 percent. Jambi's average HDI for the last 9 years is 68.47. When observed during the 2010-2020 period, the number of districts/cities whose HDI indicators were above the Jambi province average tended to be small, around 2 to 3 districts/cities. Meanwhile, the number of districts/cities whose HDI indicators are below the Jambi average tends to be more.</w:t>
      </w:r>
    </w:p>
    <w:p w14:paraId="5741AE3A" w14:textId="77777777" w:rsidR="00D8793A" w:rsidRDefault="00D8793A" w:rsidP="00D8793A">
      <w:pPr>
        <w:spacing w:after="0" w:line="240" w:lineRule="auto"/>
        <w:ind w:firstLine="426"/>
        <w:jc w:val="both"/>
        <w:outlineLvl w:val="0"/>
      </w:pPr>
      <w:r w:rsidRPr="00D8793A">
        <w:t xml:space="preserve">In Figure 2, it can be seen that the HDI achievement value by district/city in Jambi province shows a fairly large disparity between districts/cities. It can be seen that </w:t>
      </w:r>
      <w:proofErr w:type="spellStart"/>
      <w:r w:rsidRPr="00D8793A">
        <w:t>Tanjung</w:t>
      </w:r>
      <w:proofErr w:type="spellEnd"/>
      <w:r w:rsidRPr="00D8793A">
        <w:t xml:space="preserve"> </w:t>
      </w:r>
      <w:proofErr w:type="spellStart"/>
      <w:r w:rsidRPr="00D8793A">
        <w:t>Jabung</w:t>
      </w:r>
      <w:proofErr w:type="spellEnd"/>
      <w:r w:rsidRPr="00D8793A">
        <w:t xml:space="preserve"> Timur district is classified as very low compared to 8 regencies and 2 cities in Jambi province. The order of achievement of the Jambi province's district/city HDI does not change much from year to year. The order of HDI achievement of districts/cities in Jambi province is from highest to lowest, namely: (1) Jambi City, (2) Sungai </w:t>
      </w:r>
      <w:proofErr w:type="spellStart"/>
      <w:r w:rsidRPr="00D8793A">
        <w:t>Penuh</w:t>
      </w:r>
      <w:proofErr w:type="spellEnd"/>
      <w:r w:rsidRPr="00D8793A">
        <w:t xml:space="preserve"> City, (3) </w:t>
      </w:r>
      <w:proofErr w:type="spellStart"/>
      <w:r w:rsidRPr="00D8793A">
        <w:t>Kerinci</w:t>
      </w:r>
      <w:proofErr w:type="spellEnd"/>
      <w:r w:rsidRPr="00D8793A">
        <w:t xml:space="preserve">, (4) Bungo, (5) </w:t>
      </w:r>
      <w:proofErr w:type="spellStart"/>
      <w:r w:rsidRPr="00D8793A">
        <w:t>Sarolangun</w:t>
      </w:r>
      <w:proofErr w:type="spellEnd"/>
      <w:r w:rsidRPr="00D8793A">
        <w:t xml:space="preserve">, (6) Batanghari, (7) </w:t>
      </w:r>
      <w:proofErr w:type="spellStart"/>
      <w:r w:rsidRPr="00D8793A">
        <w:t>Merangin</w:t>
      </w:r>
      <w:proofErr w:type="spellEnd"/>
      <w:r w:rsidRPr="00D8793A">
        <w:t xml:space="preserve">, (8) </w:t>
      </w:r>
      <w:proofErr w:type="spellStart"/>
      <w:r w:rsidRPr="00D8793A">
        <w:t>Tebo</w:t>
      </w:r>
      <w:proofErr w:type="spellEnd"/>
      <w:r w:rsidRPr="00D8793A">
        <w:t xml:space="preserve">, (9) </w:t>
      </w:r>
      <w:proofErr w:type="spellStart"/>
      <w:r w:rsidRPr="00D8793A">
        <w:t>Muaro</w:t>
      </w:r>
      <w:proofErr w:type="spellEnd"/>
      <w:r w:rsidRPr="00D8793A">
        <w:t xml:space="preserve"> Jambi, (10) West </w:t>
      </w:r>
      <w:proofErr w:type="spellStart"/>
      <w:r w:rsidRPr="00D8793A">
        <w:t>Tanjung</w:t>
      </w:r>
      <w:proofErr w:type="spellEnd"/>
      <w:r w:rsidRPr="00D8793A">
        <w:t xml:space="preserve"> </w:t>
      </w:r>
      <w:proofErr w:type="spellStart"/>
      <w:r w:rsidRPr="00D8793A">
        <w:t>Jabung</w:t>
      </w:r>
      <w:proofErr w:type="spellEnd"/>
      <w:r w:rsidRPr="00D8793A">
        <w:t xml:space="preserve">, (11) East </w:t>
      </w:r>
      <w:proofErr w:type="spellStart"/>
      <w:r w:rsidRPr="00D8793A">
        <w:t>Tanjung</w:t>
      </w:r>
      <w:proofErr w:type="spellEnd"/>
      <w:r w:rsidRPr="00D8793A">
        <w:t xml:space="preserve"> </w:t>
      </w:r>
      <w:proofErr w:type="spellStart"/>
      <w:r w:rsidRPr="00D8793A">
        <w:t>Jabung</w:t>
      </w:r>
      <w:proofErr w:type="spellEnd"/>
      <w:r w:rsidRPr="00D8793A">
        <w:t>.</w:t>
      </w:r>
    </w:p>
    <w:p w14:paraId="0DC5D871" w14:textId="77777777" w:rsidR="00D8793A" w:rsidRDefault="00D8793A" w:rsidP="00D8793A">
      <w:pPr>
        <w:spacing w:after="0" w:line="240" w:lineRule="auto"/>
        <w:ind w:firstLine="426"/>
        <w:jc w:val="both"/>
        <w:outlineLvl w:val="0"/>
      </w:pPr>
      <w:r>
        <w:rPr>
          <w:noProof/>
        </w:rPr>
        <w:drawing>
          <wp:anchor distT="0" distB="0" distL="114300" distR="114300" simplePos="0" relativeHeight="251661312" behindDoc="0" locked="0" layoutInCell="1" allowOverlap="1" wp14:anchorId="50D2A46F" wp14:editId="3BFB1ABB">
            <wp:simplePos x="0" y="0"/>
            <wp:positionH relativeFrom="column">
              <wp:posOffset>645077</wp:posOffset>
            </wp:positionH>
            <wp:positionV relativeFrom="paragraph">
              <wp:posOffset>87078</wp:posOffset>
            </wp:positionV>
            <wp:extent cx="4462642" cy="2067339"/>
            <wp:effectExtent l="19050" t="0" r="14108" b="9111"/>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A0D13B4" w14:textId="77777777" w:rsidR="00D8793A" w:rsidRDefault="00D8793A" w:rsidP="00D8793A">
      <w:pPr>
        <w:spacing w:after="0" w:line="240" w:lineRule="auto"/>
        <w:ind w:firstLine="426"/>
        <w:jc w:val="both"/>
        <w:outlineLvl w:val="0"/>
      </w:pPr>
    </w:p>
    <w:p w14:paraId="62B9EA7B" w14:textId="77777777" w:rsidR="00D8793A" w:rsidRDefault="00D8793A" w:rsidP="00D8793A">
      <w:pPr>
        <w:spacing w:after="0" w:line="240" w:lineRule="auto"/>
        <w:ind w:firstLine="426"/>
        <w:jc w:val="both"/>
        <w:outlineLvl w:val="0"/>
      </w:pPr>
    </w:p>
    <w:p w14:paraId="116567E6" w14:textId="77777777" w:rsidR="00D8793A" w:rsidRDefault="00D8793A" w:rsidP="00D8793A">
      <w:pPr>
        <w:spacing w:after="0" w:line="240" w:lineRule="auto"/>
        <w:ind w:firstLine="426"/>
        <w:jc w:val="both"/>
        <w:outlineLvl w:val="0"/>
      </w:pPr>
    </w:p>
    <w:p w14:paraId="7A4F95A7" w14:textId="77777777" w:rsidR="00D8793A" w:rsidRDefault="00D8793A" w:rsidP="00D8793A">
      <w:pPr>
        <w:spacing w:after="0" w:line="240" w:lineRule="auto"/>
        <w:ind w:firstLine="426"/>
        <w:jc w:val="both"/>
        <w:outlineLvl w:val="0"/>
      </w:pPr>
    </w:p>
    <w:p w14:paraId="5A2D2339" w14:textId="77777777" w:rsidR="00D8793A" w:rsidRDefault="00D8793A" w:rsidP="00D8793A">
      <w:pPr>
        <w:spacing w:after="0" w:line="240" w:lineRule="auto"/>
        <w:ind w:firstLine="426"/>
        <w:jc w:val="both"/>
        <w:outlineLvl w:val="0"/>
      </w:pPr>
    </w:p>
    <w:p w14:paraId="10AD2FC8" w14:textId="77777777" w:rsidR="00D8793A" w:rsidRDefault="00D8793A" w:rsidP="00D8793A">
      <w:pPr>
        <w:spacing w:after="0" w:line="240" w:lineRule="auto"/>
        <w:ind w:firstLine="426"/>
        <w:jc w:val="both"/>
        <w:outlineLvl w:val="0"/>
      </w:pPr>
    </w:p>
    <w:p w14:paraId="5F0EB89D" w14:textId="77777777" w:rsidR="00D8793A" w:rsidRDefault="00D8793A" w:rsidP="00D8793A">
      <w:pPr>
        <w:spacing w:after="0" w:line="240" w:lineRule="auto"/>
        <w:ind w:firstLine="426"/>
        <w:jc w:val="both"/>
        <w:outlineLvl w:val="0"/>
      </w:pPr>
    </w:p>
    <w:p w14:paraId="52CD3846" w14:textId="77777777" w:rsidR="00D8793A" w:rsidRDefault="00D8793A" w:rsidP="00D8793A">
      <w:pPr>
        <w:spacing w:after="0" w:line="240" w:lineRule="auto"/>
        <w:ind w:firstLine="426"/>
        <w:jc w:val="both"/>
        <w:outlineLvl w:val="0"/>
      </w:pPr>
    </w:p>
    <w:p w14:paraId="25F4BC15" w14:textId="77777777" w:rsidR="00D8793A" w:rsidRDefault="00D8793A" w:rsidP="00D8793A">
      <w:pPr>
        <w:spacing w:after="0" w:line="240" w:lineRule="auto"/>
        <w:ind w:firstLine="426"/>
        <w:jc w:val="both"/>
        <w:outlineLvl w:val="0"/>
      </w:pPr>
    </w:p>
    <w:p w14:paraId="38E045A0" w14:textId="77777777" w:rsidR="00D8793A" w:rsidRDefault="00D8793A" w:rsidP="00D8793A">
      <w:pPr>
        <w:spacing w:after="0" w:line="240" w:lineRule="auto"/>
        <w:ind w:firstLine="426"/>
        <w:jc w:val="both"/>
        <w:outlineLvl w:val="0"/>
      </w:pPr>
    </w:p>
    <w:p w14:paraId="0EDBD65B" w14:textId="77777777" w:rsidR="00D8793A" w:rsidRDefault="00D8793A" w:rsidP="00D8793A">
      <w:pPr>
        <w:spacing w:after="0" w:line="240" w:lineRule="auto"/>
        <w:ind w:firstLine="426"/>
        <w:jc w:val="both"/>
        <w:outlineLvl w:val="0"/>
      </w:pPr>
    </w:p>
    <w:p w14:paraId="22BB229F" w14:textId="77777777" w:rsidR="00D8793A" w:rsidRDefault="00D8793A" w:rsidP="00D8793A">
      <w:pPr>
        <w:spacing w:after="0" w:line="240" w:lineRule="auto"/>
        <w:ind w:firstLine="426"/>
        <w:jc w:val="both"/>
        <w:outlineLvl w:val="0"/>
      </w:pPr>
    </w:p>
    <w:p w14:paraId="002C0522" w14:textId="77777777" w:rsidR="00EF313E" w:rsidRDefault="00D8793A" w:rsidP="00D8793A">
      <w:pPr>
        <w:spacing w:after="0" w:line="240" w:lineRule="auto"/>
        <w:outlineLvl w:val="0"/>
      </w:pPr>
      <w:r>
        <w:rPr>
          <w:b/>
        </w:rPr>
        <w:t xml:space="preserve">Figure 2. </w:t>
      </w:r>
      <w:r w:rsidR="00EF313E" w:rsidRPr="00EF313E">
        <w:t>Jambi Province HDI by Regency/City in 2010 and 2020</w:t>
      </w:r>
    </w:p>
    <w:p w14:paraId="33CD94E3" w14:textId="77777777" w:rsidR="00D8793A" w:rsidRDefault="00D8793A" w:rsidP="00D8793A">
      <w:pPr>
        <w:spacing w:after="0" w:line="240" w:lineRule="auto"/>
        <w:outlineLvl w:val="0"/>
        <w:rPr>
          <w:sz w:val="20"/>
          <w:szCs w:val="20"/>
        </w:rPr>
      </w:pPr>
      <w:r w:rsidRPr="00850043">
        <w:rPr>
          <w:b/>
          <w:sz w:val="20"/>
          <w:szCs w:val="20"/>
        </w:rPr>
        <w:t>Source</w:t>
      </w:r>
      <w:r w:rsidRPr="0061125E">
        <w:rPr>
          <w:sz w:val="20"/>
          <w:szCs w:val="20"/>
        </w:rPr>
        <w:t xml:space="preserve">: </w:t>
      </w:r>
      <w:r>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Pr>
          <w:sz w:val="20"/>
          <w:szCs w:val="20"/>
        </w:rPr>
        <w:fldChar w:fldCharType="separate"/>
      </w:r>
      <w:r w:rsidRPr="00CF5E62">
        <w:rPr>
          <w:noProof/>
          <w:sz w:val="20"/>
          <w:szCs w:val="20"/>
        </w:rPr>
        <w:t>BPS Provinsi Jambi, 2020a</w:t>
      </w:r>
      <w:r>
        <w:rPr>
          <w:sz w:val="20"/>
          <w:szCs w:val="20"/>
        </w:rPr>
        <w:fldChar w:fldCharType="end"/>
      </w:r>
    </w:p>
    <w:p w14:paraId="70D59065" w14:textId="77777777" w:rsidR="007219C7" w:rsidRDefault="007219C7" w:rsidP="00D8793A">
      <w:pPr>
        <w:spacing w:after="0" w:line="240" w:lineRule="auto"/>
        <w:outlineLvl w:val="0"/>
        <w:rPr>
          <w:sz w:val="20"/>
          <w:szCs w:val="20"/>
        </w:rPr>
      </w:pPr>
    </w:p>
    <w:p w14:paraId="4C11694D" w14:textId="77777777" w:rsidR="005E6903" w:rsidRDefault="005E6903" w:rsidP="007219C7">
      <w:pPr>
        <w:spacing w:after="0" w:line="240" w:lineRule="auto"/>
        <w:ind w:firstLine="426"/>
        <w:jc w:val="both"/>
        <w:outlineLvl w:val="0"/>
      </w:pPr>
    </w:p>
    <w:p w14:paraId="53019D7E" w14:textId="77777777" w:rsidR="007219C7" w:rsidRDefault="007219C7" w:rsidP="007219C7">
      <w:pPr>
        <w:spacing w:after="0" w:line="240" w:lineRule="auto"/>
        <w:ind w:firstLine="426"/>
        <w:jc w:val="both"/>
        <w:outlineLvl w:val="0"/>
      </w:pPr>
      <w:r>
        <w:t xml:space="preserve">The first factor that is measured in HDI is health. The measurement uses the Life Expectancy Age (LE) indicator. Based on figure 3 during the period 2010-2020 the life expectancy in 4 </w:t>
      </w:r>
      <w:r>
        <w:lastRenderedPageBreak/>
        <w:t xml:space="preserve">districts/cities above the </w:t>
      </w:r>
      <w:proofErr w:type="spellStart"/>
      <w:r>
        <w:t>the</w:t>
      </w:r>
      <w:proofErr w:type="spellEnd"/>
      <w:r>
        <w:t xml:space="preserve"> life </w:t>
      </w:r>
      <w:proofErr w:type="gramStart"/>
      <w:r>
        <w:t>expectancy  of</w:t>
      </w:r>
      <w:proofErr w:type="gramEnd"/>
      <w:r>
        <w:t xml:space="preserve"> Jambi province, namely Jambi City, Sungai </w:t>
      </w:r>
      <w:proofErr w:type="spellStart"/>
      <w:r>
        <w:t>Penuh</w:t>
      </w:r>
      <w:proofErr w:type="spellEnd"/>
      <w:r>
        <w:t xml:space="preserve"> City, </w:t>
      </w:r>
      <w:proofErr w:type="spellStart"/>
      <w:r>
        <w:t>Merangin</w:t>
      </w:r>
      <w:proofErr w:type="spellEnd"/>
      <w:r>
        <w:t xml:space="preserve"> and </w:t>
      </w:r>
      <w:proofErr w:type="spellStart"/>
      <w:r>
        <w:t>Muaro</w:t>
      </w:r>
      <w:proofErr w:type="spellEnd"/>
      <w:r>
        <w:t xml:space="preserve"> Jambi. Meanwhile, 7 other regencies are still under the UHH of Jambi province, namely Batanghari, </w:t>
      </w:r>
      <w:proofErr w:type="spellStart"/>
      <w:r>
        <w:t>Tebo</w:t>
      </w:r>
      <w:proofErr w:type="spellEnd"/>
      <w:r>
        <w:t xml:space="preserve">, </w:t>
      </w:r>
      <w:proofErr w:type="spellStart"/>
      <w:r>
        <w:t>Kerinci</w:t>
      </w:r>
      <w:proofErr w:type="spellEnd"/>
      <w:r>
        <w:t xml:space="preserve">, </w:t>
      </w:r>
      <w:proofErr w:type="spellStart"/>
      <w:r>
        <w:t>Sarolangun</w:t>
      </w:r>
      <w:proofErr w:type="spellEnd"/>
      <w:r>
        <w:t xml:space="preserve">, West </w:t>
      </w:r>
      <w:proofErr w:type="spellStart"/>
      <w:r>
        <w:t>Tanjung</w:t>
      </w:r>
      <w:proofErr w:type="spellEnd"/>
      <w:r>
        <w:t xml:space="preserve"> </w:t>
      </w:r>
      <w:proofErr w:type="spellStart"/>
      <w:r>
        <w:t>Jabung</w:t>
      </w:r>
      <w:proofErr w:type="spellEnd"/>
      <w:r>
        <w:t xml:space="preserve">, Bungo, East </w:t>
      </w:r>
      <w:proofErr w:type="spellStart"/>
      <w:r>
        <w:t>Tanjung</w:t>
      </w:r>
      <w:proofErr w:type="spellEnd"/>
      <w:r>
        <w:t xml:space="preserve"> </w:t>
      </w:r>
      <w:proofErr w:type="spellStart"/>
      <w:r>
        <w:t>Jabung</w:t>
      </w:r>
      <w:proofErr w:type="spellEnd"/>
      <w:r>
        <w:t xml:space="preserve"> regencies, besides that 6 of them are still under 70 years old.</w:t>
      </w:r>
    </w:p>
    <w:p w14:paraId="0003C18B" w14:textId="77777777" w:rsidR="00D8793A" w:rsidRDefault="007219C7" w:rsidP="007219C7">
      <w:pPr>
        <w:spacing w:after="0" w:line="240" w:lineRule="auto"/>
        <w:ind w:firstLine="426"/>
        <w:jc w:val="both"/>
        <w:outlineLvl w:val="0"/>
      </w:pPr>
      <w:r>
        <w:t xml:space="preserve">The distribution of health based on the life expectancy index is still very diverse and tends to be low. life expectancy in urban areas is superior to life expectance in district areas. The lowest UHH during the 2010-2020 period was in the East </w:t>
      </w:r>
      <w:proofErr w:type="spellStart"/>
      <w:r>
        <w:t>Tanjung</w:t>
      </w:r>
      <w:proofErr w:type="spellEnd"/>
      <w:r>
        <w:t xml:space="preserve"> </w:t>
      </w:r>
      <w:proofErr w:type="spellStart"/>
      <w:r>
        <w:t>Jabung</w:t>
      </w:r>
      <w:proofErr w:type="spellEnd"/>
      <w:r>
        <w:t xml:space="preserve"> district. This shows that the life expectancy at birth of the residents of </w:t>
      </w:r>
      <w:proofErr w:type="spellStart"/>
      <w:r>
        <w:t>Tanjung</w:t>
      </w:r>
      <w:proofErr w:type="spellEnd"/>
      <w:r>
        <w:t xml:space="preserve"> </w:t>
      </w:r>
      <w:proofErr w:type="spellStart"/>
      <w:r>
        <w:t>Jabung</w:t>
      </w:r>
      <w:proofErr w:type="spellEnd"/>
      <w:r>
        <w:t xml:space="preserve"> Timur Regency is still very far from other regions. Howev</w:t>
      </w:r>
      <w:r w:rsidR="00B85149">
        <w:t>er, what is interesting figure</w:t>
      </w:r>
      <w:r>
        <w:t xml:space="preserve"> 3 is that for a decade the highest life expectancy growth rate was in the East </w:t>
      </w:r>
      <w:proofErr w:type="spellStart"/>
      <w:r>
        <w:t>Tanjung</w:t>
      </w:r>
      <w:proofErr w:type="spellEnd"/>
      <w:r>
        <w:t xml:space="preserve"> </w:t>
      </w:r>
      <w:proofErr w:type="spellStart"/>
      <w:r>
        <w:t>Jabung</w:t>
      </w:r>
      <w:proofErr w:type="spellEnd"/>
      <w:r>
        <w:t xml:space="preserve"> district. Followed by the highest order, namely the districts of </w:t>
      </w:r>
      <w:proofErr w:type="spellStart"/>
      <w:r>
        <w:t>Kerinci</w:t>
      </w:r>
      <w:proofErr w:type="spellEnd"/>
      <w:r>
        <w:t xml:space="preserve">, Bungo, Batanghari, Sungai </w:t>
      </w:r>
      <w:proofErr w:type="spellStart"/>
      <w:r>
        <w:t>Penuh</w:t>
      </w:r>
      <w:proofErr w:type="spellEnd"/>
      <w:r>
        <w:t xml:space="preserve"> City, </w:t>
      </w:r>
      <w:proofErr w:type="spellStart"/>
      <w:r>
        <w:t>Tanjung</w:t>
      </w:r>
      <w:proofErr w:type="spellEnd"/>
      <w:r>
        <w:t xml:space="preserve"> </w:t>
      </w:r>
      <w:proofErr w:type="spellStart"/>
      <w:r>
        <w:t>Jabung</w:t>
      </w:r>
      <w:proofErr w:type="spellEnd"/>
      <w:r>
        <w:t xml:space="preserve"> Barat, </w:t>
      </w:r>
      <w:proofErr w:type="spellStart"/>
      <w:r>
        <w:t>Muaro</w:t>
      </w:r>
      <w:proofErr w:type="spellEnd"/>
      <w:r>
        <w:t xml:space="preserve"> Jambi, </w:t>
      </w:r>
      <w:proofErr w:type="spellStart"/>
      <w:r>
        <w:t>Sarolangun</w:t>
      </w:r>
      <w:proofErr w:type="spellEnd"/>
      <w:r>
        <w:t xml:space="preserve">, Jambi City, </w:t>
      </w:r>
      <w:proofErr w:type="spellStart"/>
      <w:r>
        <w:t>Merangin</w:t>
      </w:r>
      <w:proofErr w:type="spellEnd"/>
      <w:r>
        <w:t xml:space="preserve"> and </w:t>
      </w:r>
      <w:proofErr w:type="spellStart"/>
      <w:r>
        <w:t>Tebo</w:t>
      </w:r>
      <w:proofErr w:type="spellEnd"/>
      <w:r>
        <w:t>.</w:t>
      </w:r>
    </w:p>
    <w:p w14:paraId="2B24B203" w14:textId="77777777" w:rsidR="007219C7" w:rsidRPr="00D8793A" w:rsidRDefault="00B85149" w:rsidP="007219C7">
      <w:pPr>
        <w:spacing w:after="0" w:line="240" w:lineRule="auto"/>
        <w:ind w:firstLine="426"/>
        <w:jc w:val="both"/>
        <w:outlineLvl w:val="0"/>
      </w:pPr>
      <w:r w:rsidRPr="00B85149">
        <w:rPr>
          <w:noProof/>
        </w:rPr>
        <w:drawing>
          <wp:anchor distT="0" distB="0" distL="114300" distR="114300" simplePos="0" relativeHeight="251658239" behindDoc="0" locked="0" layoutInCell="1" allowOverlap="1" wp14:anchorId="2B3D3AB2" wp14:editId="6701926F">
            <wp:simplePos x="0" y="0"/>
            <wp:positionH relativeFrom="column">
              <wp:posOffset>740493</wp:posOffset>
            </wp:positionH>
            <wp:positionV relativeFrom="paragraph">
              <wp:posOffset>68055</wp:posOffset>
            </wp:positionV>
            <wp:extent cx="4542790" cy="1995778"/>
            <wp:effectExtent l="19050" t="0" r="10160" b="4472"/>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39CDDFA1" w14:textId="77777777" w:rsidR="00B85149" w:rsidRDefault="00B85149" w:rsidP="007219C7">
      <w:pPr>
        <w:spacing w:before="240" w:after="120" w:line="240" w:lineRule="auto"/>
        <w:rPr>
          <w:b/>
        </w:rPr>
      </w:pPr>
    </w:p>
    <w:p w14:paraId="2A08F02E" w14:textId="77777777" w:rsidR="00B85149" w:rsidRDefault="00B85149" w:rsidP="007219C7">
      <w:pPr>
        <w:spacing w:before="240" w:after="120" w:line="240" w:lineRule="auto"/>
        <w:rPr>
          <w:b/>
        </w:rPr>
      </w:pPr>
    </w:p>
    <w:p w14:paraId="33F2D7D9" w14:textId="77777777" w:rsidR="00B85149" w:rsidRDefault="00B85149" w:rsidP="007219C7">
      <w:pPr>
        <w:spacing w:before="240" w:after="120" w:line="240" w:lineRule="auto"/>
        <w:rPr>
          <w:b/>
        </w:rPr>
      </w:pPr>
    </w:p>
    <w:p w14:paraId="064F7016" w14:textId="77777777" w:rsidR="00B85149" w:rsidRDefault="00B85149" w:rsidP="007219C7">
      <w:pPr>
        <w:spacing w:before="240" w:after="120" w:line="240" w:lineRule="auto"/>
        <w:rPr>
          <w:b/>
        </w:rPr>
      </w:pPr>
    </w:p>
    <w:p w14:paraId="308B9DB6" w14:textId="77777777" w:rsidR="00B85149" w:rsidRDefault="00B85149" w:rsidP="007219C7">
      <w:pPr>
        <w:spacing w:before="240" w:after="120" w:line="240" w:lineRule="auto"/>
        <w:rPr>
          <w:b/>
        </w:rPr>
      </w:pPr>
    </w:p>
    <w:p w14:paraId="772E1EEA" w14:textId="77777777" w:rsidR="00B85149" w:rsidRDefault="00B85149" w:rsidP="00B85149">
      <w:pPr>
        <w:spacing w:after="0" w:line="240" w:lineRule="auto"/>
        <w:outlineLvl w:val="0"/>
        <w:rPr>
          <w:b/>
        </w:rPr>
      </w:pPr>
    </w:p>
    <w:p w14:paraId="3F64E201" w14:textId="77777777" w:rsidR="00B85149" w:rsidRDefault="00B85149" w:rsidP="00B85149">
      <w:pPr>
        <w:spacing w:after="0" w:line="240" w:lineRule="auto"/>
        <w:outlineLvl w:val="0"/>
      </w:pPr>
      <w:r>
        <w:rPr>
          <w:b/>
        </w:rPr>
        <w:t xml:space="preserve">Figure 3. </w:t>
      </w:r>
      <w:r w:rsidRPr="00B85149">
        <w:t xml:space="preserve">Life Expectancy Age (LE) </w:t>
      </w:r>
      <w:proofErr w:type="spellStart"/>
      <w:r w:rsidRPr="00B85149">
        <w:t>Provins</w:t>
      </w:r>
      <w:r w:rsidR="00EF313E">
        <w:t>i</w:t>
      </w:r>
      <w:proofErr w:type="spellEnd"/>
      <w:r w:rsidR="00EF313E">
        <w:t xml:space="preserve"> Jambi and </w:t>
      </w:r>
      <w:r w:rsidR="00EF313E" w:rsidRPr="00EF313E">
        <w:t xml:space="preserve">Regency/City </w:t>
      </w:r>
      <w:r w:rsidR="00EF313E">
        <w:t xml:space="preserve">2010 - </w:t>
      </w:r>
      <w:r w:rsidRPr="00B85149">
        <w:t>2020</w:t>
      </w:r>
    </w:p>
    <w:p w14:paraId="1C3F28E4" w14:textId="77777777" w:rsidR="005E6903" w:rsidRDefault="00B85149" w:rsidP="00B85149">
      <w:pPr>
        <w:spacing w:after="0" w:line="240" w:lineRule="auto"/>
        <w:outlineLvl w:val="0"/>
        <w:rPr>
          <w:sz w:val="20"/>
          <w:szCs w:val="20"/>
        </w:rPr>
      </w:pPr>
      <w:r w:rsidRPr="00850043">
        <w:rPr>
          <w:b/>
          <w:sz w:val="20"/>
          <w:szCs w:val="20"/>
        </w:rPr>
        <w:t>Source</w:t>
      </w:r>
      <w:r w:rsidRPr="0061125E">
        <w:rPr>
          <w:sz w:val="20"/>
          <w:szCs w:val="20"/>
        </w:rPr>
        <w:t xml:space="preserve">: </w:t>
      </w:r>
      <w:r>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Pr>
          <w:sz w:val="20"/>
          <w:szCs w:val="20"/>
        </w:rPr>
        <w:fldChar w:fldCharType="separate"/>
      </w:r>
      <w:r w:rsidRPr="00CF5E62">
        <w:rPr>
          <w:noProof/>
          <w:sz w:val="20"/>
          <w:szCs w:val="20"/>
        </w:rPr>
        <w:t>BPS Provinsi Jambi, 2020a</w:t>
      </w:r>
      <w:r>
        <w:rPr>
          <w:sz w:val="20"/>
          <w:szCs w:val="20"/>
        </w:rPr>
        <w:fldChar w:fldCharType="end"/>
      </w:r>
    </w:p>
    <w:p w14:paraId="3E107537" w14:textId="77777777" w:rsidR="00663641" w:rsidRDefault="00663641" w:rsidP="00663641">
      <w:pPr>
        <w:spacing w:after="0" w:line="240" w:lineRule="auto"/>
        <w:ind w:firstLine="425"/>
        <w:jc w:val="both"/>
        <w:rPr>
          <w:w w:val="95"/>
        </w:rPr>
      </w:pPr>
    </w:p>
    <w:p w14:paraId="186D9646" w14:textId="77777777" w:rsidR="00B85149" w:rsidRPr="00663641" w:rsidRDefault="005B27ED" w:rsidP="00663641">
      <w:pPr>
        <w:spacing w:after="0" w:line="240" w:lineRule="auto"/>
        <w:ind w:firstLine="425"/>
        <w:jc w:val="both"/>
      </w:pPr>
      <w:r>
        <w:rPr>
          <w:noProof/>
        </w:rPr>
        <w:drawing>
          <wp:anchor distT="0" distB="0" distL="114300" distR="114300" simplePos="0" relativeHeight="251664384" behindDoc="0" locked="0" layoutInCell="1" allowOverlap="1" wp14:anchorId="425B8903" wp14:editId="4C9C0236">
            <wp:simplePos x="0" y="0"/>
            <wp:positionH relativeFrom="column">
              <wp:posOffset>740410</wp:posOffset>
            </wp:positionH>
            <wp:positionV relativeFrom="paragraph">
              <wp:posOffset>1983105</wp:posOffset>
            </wp:positionV>
            <wp:extent cx="4391080" cy="1807182"/>
            <wp:effectExtent l="19050" t="0" r="28520" b="2568"/>
            <wp:wrapNone/>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85149" w:rsidRPr="00663641">
        <w:rPr>
          <w:w w:val="95"/>
        </w:rPr>
        <w:t>The length of school expectation</w:t>
      </w:r>
      <w:r w:rsidR="00B85149" w:rsidRPr="00663641">
        <w:rPr>
          <w:rFonts w:ascii="Palatino Linotype" w:hAnsi="Palatino Linotype"/>
          <w:i/>
          <w:w w:val="95"/>
        </w:rPr>
        <w:t xml:space="preserve"> </w:t>
      </w:r>
      <w:r w:rsidR="00B85149" w:rsidRPr="00663641">
        <w:t xml:space="preserve">(LSE) and the average length of schooling (ALS) are indicators that determine HDI in the education sector. Both indicators provide a snapshot of the human potential in a region to increase productivity, and enable income growth that can lead to a higher standard of living for everyone. The development of education indicators has increased every year. During the decade of 2010-2020, based on figure 4, the school expectations for the residents of the city of Jambi were very good because they reached the 15-year expectation rate or achieved school expectations up to the D3/D4/Bachelor level. Meanwhile, the lowest school expectation rate is occupied by </w:t>
      </w:r>
      <w:proofErr w:type="spellStart"/>
      <w:r w:rsidR="00B85149" w:rsidRPr="00663641">
        <w:t>Merangin</w:t>
      </w:r>
      <w:proofErr w:type="spellEnd"/>
      <w:r w:rsidR="00B85149" w:rsidRPr="00663641">
        <w:t xml:space="preserve"> district. </w:t>
      </w:r>
      <w:proofErr w:type="spellStart"/>
      <w:r w:rsidR="00B85149" w:rsidRPr="00663641">
        <w:t>Merangin</w:t>
      </w:r>
      <w:proofErr w:type="spellEnd"/>
      <w:r w:rsidR="00B85149" w:rsidRPr="00663641">
        <w:t xml:space="preserve"> Regency is just about to step on the 12-year mark, or rather 11.99 in 2020. The growth rate of school expectations is still ahead of the city of Jambi, which is 2.29 years. While the lowest growth was occupied by Sungai </w:t>
      </w:r>
      <w:proofErr w:type="spellStart"/>
      <w:r w:rsidR="00B85149" w:rsidRPr="00663641">
        <w:t>Penuh</w:t>
      </w:r>
      <w:proofErr w:type="spellEnd"/>
      <w:r w:rsidR="00B85149" w:rsidRPr="00663641">
        <w:t xml:space="preserve"> City which only experienced an increase of 1.06 years, even though Sungai </w:t>
      </w:r>
      <w:proofErr w:type="spellStart"/>
      <w:r w:rsidR="00B85149" w:rsidRPr="00663641">
        <w:t>Penuh</w:t>
      </w:r>
      <w:proofErr w:type="spellEnd"/>
      <w:r w:rsidR="00B85149" w:rsidRPr="00663641">
        <w:t xml:space="preserve"> City is one of the cities that has the highest LSE rate.</w:t>
      </w:r>
    </w:p>
    <w:p w14:paraId="3F2AC65C" w14:textId="77777777" w:rsidR="00663641" w:rsidRDefault="00663641" w:rsidP="00663641">
      <w:pPr>
        <w:spacing w:before="240" w:after="0" w:line="240" w:lineRule="auto"/>
        <w:ind w:firstLine="426"/>
        <w:jc w:val="both"/>
        <w:rPr>
          <w:sz w:val="20"/>
          <w:szCs w:val="20"/>
        </w:rPr>
      </w:pPr>
    </w:p>
    <w:p w14:paraId="67088379" w14:textId="77777777" w:rsidR="00663641" w:rsidRDefault="00663641" w:rsidP="00B85149">
      <w:pPr>
        <w:spacing w:before="240" w:after="120" w:line="240" w:lineRule="auto"/>
        <w:ind w:firstLine="426"/>
        <w:jc w:val="both"/>
        <w:rPr>
          <w:sz w:val="20"/>
          <w:szCs w:val="20"/>
        </w:rPr>
      </w:pPr>
    </w:p>
    <w:p w14:paraId="4CA8A0CF" w14:textId="77777777" w:rsidR="00663641" w:rsidRDefault="00663641" w:rsidP="00B85149">
      <w:pPr>
        <w:spacing w:before="240" w:after="120" w:line="240" w:lineRule="auto"/>
        <w:ind w:firstLine="426"/>
        <w:jc w:val="both"/>
        <w:rPr>
          <w:sz w:val="20"/>
          <w:szCs w:val="20"/>
        </w:rPr>
      </w:pPr>
    </w:p>
    <w:p w14:paraId="7C2DF598" w14:textId="77777777" w:rsidR="00663641" w:rsidRDefault="00663641" w:rsidP="00B85149">
      <w:pPr>
        <w:spacing w:before="240" w:after="120" w:line="240" w:lineRule="auto"/>
        <w:ind w:firstLine="426"/>
        <w:jc w:val="both"/>
        <w:rPr>
          <w:sz w:val="20"/>
          <w:szCs w:val="20"/>
        </w:rPr>
      </w:pPr>
    </w:p>
    <w:p w14:paraId="0A33C49A" w14:textId="77777777" w:rsidR="00663641" w:rsidRDefault="00663641" w:rsidP="00663641">
      <w:pPr>
        <w:spacing w:before="240" w:after="120" w:line="240" w:lineRule="auto"/>
        <w:jc w:val="both"/>
        <w:rPr>
          <w:sz w:val="20"/>
          <w:szCs w:val="20"/>
        </w:rPr>
      </w:pPr>
    </w:p>
    <w:p w14:paraId="7F0A0F80" w14:textId="77777777" w:rsidR="00663641" w:rsidRDefault="00663641" w:rsidP="00663641">
      <w:pPr>
        <w:spacing w:after="0" w:line="240" w:lineRule="auto"/>
        <w:outlineLvl w:val="0"/>
        <w:rPr>
          <w:sz w:val="20"/>
          <w:szCs w:val="20"/>
        </w:rPr>
      </w:pPr>
    </w:p>
    <w:p w14:paraId="40018D3F" w14:textId="70C783F8" w:rsidR="00EF313E" w:rsidRDefault="00663641" w:rsidP="00663641">
      <w:pPr>
        <w:spacing w:after="0" w:line="240" w:lineRule="auto"/>
        <w:outlineLvl w:val="0"/>
        <w:rPr>
          <w:szCs w:val="20"/>
        </w:rPr>
      </w:pPr>
      <w:r>
        <w:rPr>
          <w:b/>
        </w:rPr>
        <w:t xml:space="preserve">Figure 4. </w:t>
      </w:r>
      <w:r w:rsidR="00EF313E" w:rsidRPr="00EF313E">
        <w:rPr>
          <w:szCs w:val="20"/>
        </w:rPr>
        <w:t xml:space="preserve"> </w:t>
      </w:r>
      <w:r w:rsidR="005B5B20">
        <w:t>L</w:t>
      </w:r>
      <w:r w:rsidR="005B5B20" w:rsidRPr="00F03BA0">
        <w:t xml:space="preserve">ong </w:t>
      </w:r>
      <w:r w:rsidR="005B5B20">
        <w:t>S</w:t>
      </w:r>
      <w:r w:rsidR="005B5B20" w:rsidRPr="00F03BA0">
        <w:t xml:space="preserve">chooling </w:t>
      </w:r>
      <w:r w:rsidR="005B5B20">
        <w:t>E</w:t>
      </w:r>
      <w:r w:rsidR="005B5B20" w:rsidRPr="00F03BA0">
        <w:t xml:space="preserve">xpectancy (LSE) </w:t>
      </w:r>
      <w:r w:rsidR="005B5B20">
        <w:rPr>
          <w:szCs w:val="20"/>
        </w:rPr>
        <w:t xml:space="preserve">in </w:t>
      </w:r>
      <w:r w:rsidR="00EF313E" w:rsidRPr="00EF313E">
        <w:rPr>
          <w:szCs w:val="20"/>
        </w:rPr>
        <w:t>Jambi Pr</w:t>
      </w:r>
      <w:r w:rsidR="00EF313E">
        <w:rPr>
          <w:szCs w:val="20"/>
        </w:rPr>
        <w:t>ovince and Regency/City 2010 -</w:t>
      </w:r>
      <w:r w:rsidR="00EF313E" w:rsidRPr="00EF313E">
        <w:rPr>
          <w:szCs w:val="20"/>
        </w:rPr>
        <w:t xml:space="preserve"> 2020</w:t>
      </w:r>
    </w:p>
    <w:p w14:paraId="16948B85" w14:textId="77777777" w:rsidR="00663641" w:rsidRDefault="00663641" w:rsidP="00663641">
      <w:pPr>
        <w:spacing w:after="0" w:line="240" w:lineRule="auto"/>
        <w:outlineLvl w:val="0"/>
        <w:rPr>
          <w:sz w:val="20"/>
          <w:szCs w:val="20"/>
        </w:rPr>
      </w:pPr>
      <w:r w:rsidRPr="00850043">
        <w:rPr>
          <w:b/>
          <w:sz w:val="20"/>
          <w:szCs w:val="20"/>
        </w:rPr>
        <w:t>Source</w:t>
      </w:r>
      <w:r w:rsidRPr="0061125E">
        <w:rPr>
          <w:sz w:val="20"/>
          <w:szCs w:val="20"/>
        </w:rPr>
        <w:t xml:space="preserve">: </w:t>
      </w:r>
      <w:r>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Pr>
          <w:sz w:val="20"/>
          <w:szCs w:val="20"/>
        </w:rPr>
        <w:fldChar w:fldCharType="separate"/>
      </w:r>
      <w:r w:rsidRPr="00CF5E62">
        <w:rPr>
          <w:noProof/>
          <w:sz w:val="20"/>
          <w:szCs w:val="20"/>
        </w:rPr>
        <w:t>BPS Provinsi Jambi, 2020a</w:t>
      </w:r>
      <w:r>
        <w:rPr>
          <w:sz w:val="20"/>
          <w:szCs w:val="20"/>
        </w:rPr>
        <w:fldChar w:fldCharType="end"/>
      </w:r>
    </w:p>
    <w:p w14:paraId="5BB93ACA" w14:textId="39F40A3C" w:rsidR="00663641" w:rsidRDefault="005B27ED" w:rsidP="00B85149">
      <w:pPr>
        <w:spacing w:before="240" w:after="120" w:line="240" w:lineRule="auto"/>
        <w:ind w:firstLine="426"/>
        <w:jc w:val="both"/>
        <w:rPr>
          <w:szCs w:val="20"/>
        </w:rPr>
      </w:pPr>
      <w:r>
        <w:rPr>
          <w:szCs w:val="20"/>
        </w:rPr>
        <w:t>T</w:t>
      </w:r>
      <w:r w:rsidRPr="005B27ED">
        <w:rPr>
          <w:szCs w:val="20"/>
        </w:rPr>
        <w:t>h</w:t>
      </w:r>
      <w:r>
        <w:rPr>
          <w:szCs w:val="20"/>
        </w:rPr>
        <w:t>e average length of schooling (A</w:t>
      </w:r>
      <w:r w:rsidRPr="005B27ED">
        <w:rPr>
          <w:szCs w:val="20"/>
        </w:rPr>
        <w:t xml:space="preserve">LS) indicator between regions in Jambi province has very </w:t>
      </w:r>
      <w:r w:rsidRPr="005B27ED">
        <w:rPr>
          <w:szCs w:val="20"/>
        </w:rPr>
        <w:lastRenderedPageBreak/>
        <w:t xml:space="preserve">diverse achievements and disparities occur. </w:t>
      </w:r>
      <w:r>
        <w:rPr>
          <w:szCs w:val="20"/>
        </w:rPr>
        <w:t>In 2020, the city population's A</w:t>
      </w:r>
      <w:r w:rsidRPr="005B27ED">
        <w:rPr>
          <w:szCs w:val="20"/>
        </w:rPr>
        <w:t xml:space="preserve">LS achievement rate reaches more than 10 years, meaning that the city's residents finish school up to the junior high school </w:t>
      </w:r>
      <w:r>
        <w:rPr>
          <w:szCs w:val="20"/>
        </w:rPr>
        <w:t>level. Meanwhile, the lowest A figure is occupied by the</w:t>
      </w:r>
      <w:r w:rsidRPr="005B27ED">
        <w:rPr>
          <w:szCs w:val="20"/>
        </w:rPr>
        <w:t xml:space="preserve"> </w:t>
      </w:r>
      <w:proofErr w:type="spellStart"/>
      <w:r w:rsidRPr="005B27ED">
        <w:rPr>
          <w:szCs w:val="20"/>
        </w:rPr>
        <w:t>Tanjung</w:t>
      </w:r>
      <w:proofErr w:type="spellEnd"/>
      <w:r w:rsidRPr="005B27ED">
        <w:rPr>
          <w:szCs w:val="20"/>
        </w:rPr>
        <w:t xml:space="preserve"> </w:t>
      </w:r>
      <w:proofErr w:type="spellStart"/>
      <w:r w:rsidRPr="005B27ED">
        <w:rPr>
          <w:szCs w:val="20"/>
        </w:rPr>
        <w:t>Jabung</w:t>
      </w:r>
      <w:proofErr w:type="spellEnd"/>
      <w:r>
        <w:rPr>
          <w:szCs w:val="20"/>
        </w:rPr>
        <w:t xml:space="preserve"> Timur</w:t>
      </w:r>
      <w:r w:rsidRPr="005B27ED">
        <w:rPr>
          <w:szCs w:val="20"/>
        </w:rPr>
        <w:t xml:space="preserve"> district with an </w:t>
      </w:r>
      <w:r w:rsidR="005B5B20">
        <w:rPr>
          <w:szCs w:val="20"/>
        </w:rPr>
        <w:t>A</w:t>
      </w:r>
      <w:r w:rsidRPr="005B27ED">
        <w:rPr>
          <w:szCs w:val="20"/>
        </w:rPr>
        <w:t xml:space="preserve">LS score of 6.70 years, meaning that the residents of the </w:t>
      </w:r>
      <w:proofErr w:type="spellStart"/>
      <w:r w:rsidRPr="005B27ED">
        <w:rPr>
          <w:szCs w:val="20"/>
        </w:rPr>
        <w:t>Tanjung</w:t>
      </w:r>
      <w:proofErr w:type="spellEnd"/>
      <w:r w:rsidRPr="005B27ED">
        <w:rPr>
          <w:szCs w:val="20"/>
        </w:rPr>
        <w:t xml:space="preserve"> </w:t>
      </w:r>
      <w:proofErr w:type="spellStart"/>
      <w:r w:rsidRPr="005B27ED">
        <w:rPr>
          <w:szCs w:val="20"/>
        </w:rPr>
        <w:t>Jabung</w:t>
      </w:r>
      <w:proofErr w:type="spellEnd"/>
      <w:r>
        <w:rPr>
          <w:szCs w:val="20"/>
        </w:rPr>
        <w:t xml:space="preserve"> Timur</w:t>
      </w:r>
      <w:r w:rsidRPr="005B27ED">
        <w:rPr>
          <w:szCs w:val="20"/>
        </w:rPr>
        <w:t xml:space="preserve"> district only finish school up to elementary school. However, in its development, the growth rate of the </w:t>
      </w:r>
      <w:proofErr w:type="spellStart"/>
      <w:r w:rsidRPr="005B27ED">
        <w:rPr>
          <w:szCs w:val="20"/>
        </w:rPr>
        <w:t>Tanjung</w:t>
      </w:r>
      <w:proofErr w:type="spellEnd"/>
      <w:r w:rsidRPr="005B27ED">
        <w:rPr>
          <w:szCs w:val="20"/>
        </w:rPr>
        <w:t xml:space="preserve"> </w:t>
      </w:r>
      <w:proofErr w:type="spellStart"/>
      <w:r w:rsidRPr="005B27ED">
        <w:rPr>
          <w:szCs w:val="20"/>
        </w:rPr>
        <w:t>Jabung</w:t>
      </w:r>
      <w:proofErr w:type="spellEnd"/>
      <w:r>
        <w:rPr>
          <w:szCs w:val="20"/>
        </w:rPr>
        <w:t xml:space="preserve"> Timur Regency A</w:t>
      </w:r>
      <w:r w:rsidRPr="005B27ED">
        <w:rPr>
          <w:szCs w:val="20"/>
        </w:rPr>
        <w:t xml:space="preserve">LS figure is the fastest, namely, 1.83 </w:t>
      </w:r>
      <w:r>
        <w:rPr>
          <w:szCs w:val="20"/>
        </w:rPr>
        <w:t>years. Meanwhile, the slowest A</w:t>
      </w:r>
      <w:r w:rsidRPr="005B27ED">
        <w:rPr>
          <w:szCs w:val="20"/>
        </w:rPr>
        <w:t xml:space="preserve">LS growth rate is Bungo Regency, which only reaches a growth rate of 0.50 years. This can be observed </w:t>
      </w:r>
      <w:r w:rsidR="000801F4">
        <w:rPr>
          <w:noProof/>
          <w:szCs w:val="20"/>
        </w:rPr>
        <w:drawing>
          <wp:anchor distT="0" distB="0" distL="114300" distR="114300" simplePos="0" relativeHeight="251659264" behindDoc="0" locked="0" layoutInCell="1" allowOverlap="1" wp14:anchorId="4B879DB2" wp14:editId="5D52354E">
            <wp:simplePos x="0" y="0"/>
            <wp:positionH relativeFrom="column">
              <wp:posOffset>548005</wp:posOffset>
            </wp:positionH>
            <wp:positionV relativeFrom="paragraph">
              <wp:posOffset>349322</wp:posOffset>
            </wp:positionV>
            <wp:extent cx="4295665" cy="1844703"/>
            <wp:effectExtent l="0" t="0" r="0" b="0"/>
            <wp:wrapNone/>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5B27ED">
        <w:rPr>
          <w:szCs w:val="20"/>
        </w:rPr>
        <w:t xml:space="preserve">in </w:t>
      </w:r>
      <w:r>
        <w:rPr>
          <w:szCs w:val="20"/>
        </w:rPr>
        <w:t>figure</w:t>
      </w:r>
      <w:r w:rsidRPr="005B27ED">
        <w:rPr>
          <w:szCs w:val="20"/>
        </w:rPr>
        <w:t xml:space="preserve"> 5.</w:t>
      </w:r>
    </w:p>
    <w:p w14:paraId="6C11508A" w14:textId="05F29330" w:rsidR="005B27ED" w:rsidRDefault="005B27ED" w:rsidP="00B85149">
      <w:pPr>
        <w:spacing w:before="240" w:after="120" w:line="240" w:lineRule="auto"/>
        <w:ind w:firstLine="426"/>
        <w:jc w:val="both"/>
        <w:rPr>
          <w:szCs w:val="20"/>
        </w:rPr>
      </w:pPr>
    </w:p>
    <w:p w14:paraId="6F4BB351" w14:textId="2BB8A2C0" w:rsidR="005B27ED" w:rsidRDefault="005B27ED" w:rsidP="00B85149">
      <w:pPr>
        <w:spacing w:before="240" w:after="120" w:line="240" w:lineRule="auto"/>
        <w:ind w:firstLine="426"/>
        <w:jc w:val="both"/>
        <w:rPr>
          <w:szCs w:val="20"/>
        </w:rPr>
      </w:pPr>
    </w:p>
    <w:p w14:paraId="462B2DED" w14:textId="252FD7C6" w:rsidR="005B27ED" w:rsidRDefault="005B27ED" w:rsidP="00B85149">
      <w:pPr>
        <w:spacing w:before="240" w:after="120" w:line="240" w:lineRule="auto"/>
        <w:ind w:firstLine="426"/>
        <w:jc w:val="both"/>
        <w:rPr>
          <w:szCs w:val="20"/>
        </w:rPr>
      </w:pPr>
    </w:p>
    <w:p w14:paraId="018DAE8D" w14:textId="77777777" w:rsidR="005B27ED" w:rsidRDefault="005B27ED" w:rsidP="00B85149">
      <w:pPr>
        <w:spacing w:before="240" w:after="120" w:line="240" w:lineRule="auto"/>
        <w:ind w:firstLine="426"/>
        <w:jc w:val="both"/>
        <w:rPr>
          <w:szCs w:val="20"/>
        </w:rPr>
      </w:pPr>
    </w:p>
    <w:p w14:paraId="336DF558" w14:textId="77777777" w:rsidR="005B27ED" w:rsidRPr="005B27ED" w:rsidRDefault="005B27ED" w:rsidP="00B85149">
      <w:pPr>
        <w:spacing w:before="240" w:after="120" w:line="240" w:lineRule="auto"/>
        <w:ind w:firstLine="426"/>
        <w:jc w:val="both"/>
        <w:rPr>
          <w:szCs w:val="20"/>
        </w:rPr>
      </w:pPr>
    </w:p>
    <w:p w14:paraId="1C6A0B90" w14:textId="77777777" w:rsidR="005B27ED" w:rsidRDefault="005B27ED" w:rsidP="005B27ED">
      <w:pPr>
        <w:spacing w:after="0" w:line="240" w:lineRule="auto"/>
        <w:outlineLvl w:val="0"/>
        <w:rPr>
          <w:b/>
        </w:rPr>
      </w:pPr>
    </w:p>
    <w:p w14:paraId="2B4A4315" w14:textId="7662EA2A" w:rsidR="005B27ED" w:rsidRDefault="005B27ED" w:rsidP="005B27ED">
      <w:pPr>
        <w:spacing w:after="0" w:line="240" w:lineRule="auto"/>
        <w:outlineLvl w:val="0"/>
      </w:pPr>
      <w:r>
        <w:rPr>
          <w:b/>
        </w:rPr>
        <w:t xml:space="preserve">Figure 5. </w:t>
      </w:r>
      <w:r w:rsidR="005B5B20">
        <w:rPr>
          <w:szCs w:val="20"/>
        </w:rPr>
        <w:t>T</w:t>
      </w:r>
      <w:r w:rsidR="005B5B20" w:rsidRPr="005B27ED">
        <w:rPr>
          <w:szCs w:val="20"/>
        </w:rPr>
        <w:t>h</w:t>
      </w:r>
      <w:r w:rsidR="005B5B20">
        <w:rPr>
          <w:szCs w:val="20"/>
        </w:rPr>
        <w:t>e Average Length of Schooling (A</w:t>
      </w:r>
      <w:r w:rsidR="005B5B20" w:rsidRPr="005B27ED">
        <w:rPr>
          <w:szCs w:val="20"/>
        </w:rPr>
        <w:t xml:space="preserve">LS) </w:t>
      </w:r>
      <w:r w:rsidRPr="005B27ED">
        <w:rPr>
          <w:szCs w:val="20"/>
        </w:rPr>
        <w:t>Jambi</w:t>
      </w:r>
      <w:r w:rsidR="00EF313E">
        <w:rPr>
          <w:szCs w:val="20"/>
        </w:rPr>
        <w:t xml:space="preserve"> Province and Regency/City 2010 -</w:t>
      </w:r>
      <w:r w:rsidRPr="005B27ED">
        <w:rPr>
          <w:szCs w:val="20"/>
        </w:rPr>
        <w:t>2020</w:t>
      </w:r>
    </w:p>
    <w:p w14:paraId="5AFC3B74" w14:textId="77777777" w:rsidR="005B27ED" w:rsidRDefault="005B27ED" w:rsidP="005B27ED">
      <w:pPr>
        <w:spacing w:after="0" w:line="240" w:lineRule="auto"/>
        <w:outlineLvl w:val="0"/>
        <w:rPr>
          <w:sz w:val="20"/>
          <w:szCs w:val="20"/>
        </w:rPr>
      </w:pPr>
      <w:r w:rsidRPr="00850043">
        <w:rPr>
          <w:b/>
          <w:sz w:val="20"/>
          <w:szCs w:val="20"/>
        </w:rPr>
        <w:t>Source</w:t>
      </w:r>
      <w:r w:rsidRPr="0061125E">
        <w:rPr>
          <w:sz w:val="20"/>
          <w:szCs w:val="20"/>
        </w:rPr>
        <w:t xml:space="preserve">: </w:t>
      </w:r>
      <w:r>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Pr>
          <w:sz w:val="20"/>
          <w:szCs w:val="20"/>
        </w:rPr>
        <w:fldChar w:fldCharType="separate"/>
      </w:r>
      <w:r w:rsidRPr="00CF5E62">
        <w:rPr>
          <w:noProof/>
          <w:sz w:val="20"/>
          <w:szCs w:val="20"/>
        </w:rPr>
        <w:t>BPS Provinsi Jambi, 2020a</w:t>
      </w:r>
      <w:r>
        <w:rPr>
          <w:sz w:val="20"/>
          <w:szCs w:val="20"/>
        </w:rPr>
        <w:fldChar w:fldCharType="end"/>
      </w:r>
    </w:p>
    <w:p w14:paraId="1981C9E4" w14:textId="6B44A6DD" w:rsidR="005B27ED" w:rsidRDefault="000801F4" w:rsidP="005B27ED">
      <w:pPr>
        <w:spacing w:before="240" w:after="120" w:line="240" w:lineRule="auto"/>
        <w:ind w:firstLine="426"/>
        <w:jc w:val="both"/>
      </w:pPr>
      <w:r>
        <w:rPr>
          <w:noProof/>
        </w:rPr>
        <w:drawing>
          <wp:anchor distT="0" distB="0" distL="114300" distR="114300" simplePos="0" relativeHeight="251656189" behindDoc="0" locked="0" layoutInCell="1" allowOverlap="1" wp14:anchorId="6627B502" wp14:editId="62533AD4">
            <wp:simplePos x="0" y="0"/>
            <wp:positionH relativeFrom="column">
              <wp:posOffset>738505</wp:posOffset>
            </wp:positionH>
            <wp:positionV relativeFrom="paragraph">
              <wp:posOffset>1375410</wp:posOffset>
            </wp:positionV>
            <wp:extent cx="4487766" cy="1979875"/>
            <wp:effectExtent l="19050" t="0" r="27084" b="1325"/>
            <wp:wrapNone/>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B27ED" w:rsidRPr="005B27ED">
        <w:t xml:space="preserve">The third factor is the economy with indicators measured by income per capita. The distribution of economic growth between districts/cities in Jambi province for the period 2010-2020. Based on the index of expenditure per capita, the economic differences between regencies/cities are quite clear, as seen from table 6 the regional economic growth rate of Jambi City, East </w:t>
      </w:r>
      <w:proofErr w:type="spellStart"/>
      <w:r w:rsidR="005B27ED" w:rsidRPr="005B27ED">
        <w:t>Tanjung</w:t>
      </w:r>
      <w:proofErr w:type="spellEnd"/>
      <w:r w:rsidR="005B27ED" w:rsidRPr="005B27ED">
        <w:t xml:space="preserve"> </w:t>
      </w:r>
      <w:proofErr w:type="spellStart"/>
      <w:r w:rsidR="005B27ED" w:rsidRPr="005B27ED">
        <w:t>Jabung</w:t>
      </w:r>
      <w:proofErr w:type="spellEnd"/>
      <w:r w:rsidR="005B27ED" w:rsidRPr="005B27ED">
        <w:t xml:space="preserve"> Regency, </w:t>
      </w:r>
      <w:proofErr w:type="spellStart"/>
      <w:r w:rsidR="005B27ED" w:rsidRPr="005B27ED">
        <w:t>Muaro</w:t>
      </w:r>
      <w:proofErr w:type="spellEnd"/>
      <w:r w:rsidR="005B27ED" w:rsidRPr="005B27ED">
        <w:t xml:space="preserve"> Jambi and Sungai City is above the economic growth rate of Jambi province or above Rp 1,914. The slowest rate of economic growth is in the </w:t>
      </w:r>
      <w:proofErr w:type="spellStart"/>
      <w:r w:rsidR="005B27ED" w:rsidRPr="005B27ED">
        <w:t>Batang</w:t>
      </w:r>
      <w:proofErr w:type="spellEnd"/>
      <w:r w:rsidR="005B27ED" w:rsidRPr="005B27ED">
        <w:t xml:space="preserve"> Hari area, which only experienced an increase in per capita expenditure of Rp. 991 during the 2010-2020 period.</w:t>
      </w:r>
    </w:p>
    <w:p w14:paraId="232AEB79" w14:textId="2BA16FA4" w:rsidR="005B27ED" w:rsidRPr="005B27ED" w:rsidRDefault="005B27ED" w:rsidP="005B27ED">
      <w:pPr>
        <w:spacing w:before="240" w:after="120" w:line="240" w:lineRule="auto"/>
        <w:ind w:firstLine="426"/>
        <w:jc w:val="both"/>
      </w:pPr>
    </w:p>
    <w:p w14:paraId="40984AE9" w14:textId="77777777" w:rsidR="00EF313E" w:rsidRDefault="00EF313E" w:rsidP="00B85149">
      <w:pPr>
        <w:spacing w:before="240" w:after="120" w:line="240" w:lineRule="auto"/>
        <w:rPr>
          <w:b/>
        </w:rPr>
      </w:pPr>
    </w:p>
    <w:p w14:paraId="2D7EB133" w14:textId="77777777" w:rsidR="00EF313E" w:rsidRDefault="00EF313E" w:rsidP="00B85149">
      <w:pPr>
        <w:spacing w:before="240" w:after="120" w:line="240" w:lineRule="auto"/>
        <w:rPr>
          <w:b/>
        </w:rPr>
      </w:pPr>
    </w:p>
    <w:p w14:paraId="7060C239" w14:textId="77777777" w:rsidR="00EF313E" w:rsidRDefault="00EF313E" w:rsidP="00B85149">
      <w:pPr>
        <w:spacing w:before="240" w:after="120" w:line="240" w:lineRule="auto"/>
        <w:rPr>
          <w:b/>
        </w:rPr>
      </w:pPr>
    </w:p>
    <w:p w14:paraId="4B07F699" w14:textId="77777777" w:rsidR="00EF313E" w:rsidRDefault="00EF313E" w:rsidP="00B85149">
      <w:pPr>
        <w:spacing w:before="240" w:after="120" w:line="240" w:lineRule="auto"/>
        <w:rPr>
          <w:b/>
        </w:rPr>
      </w:pPr>
    </w:p>
    <w:p w14:paraId="0B8C2905" w14:textId="77777777" w:rsidR="00EF313E" w:rsidRDefault="00EF313E" w:rsidP="00B85149">
      <w:pPr>
        <w:spacing w:before="240" w:after="120" w:line="240" w:lineRule="auto"/>
        <w:rPr>
          <w:b/>
        </w:rPr>
      </w:pPr>
    </w:p>
    <w:p w14:paraId="1B0E6BB3" w14:textId="77777777" w:rsidR="00BE7002" w:rsidRDefault="00BE7002" w:rsidP="00BE7002">
      <w:pPr>
        <w:spacing w:after="0" w:line="240" w:lineRule="auto"/>
        <w:outlineLvl w:val="0"/>
        <w:rPr>
          <w:szCs w:val="20"/>
        </w:rPr>
      </w:pPr>
      <w:r>
        <w:rPr>
          <w:b/>
        </w:rPr>
        <w:t xml:space="preserve">Figure 6. </w:t>
      </w:r>
      <w:r w:rsidRPr="00BE7002">
        <w:rPr>
          <w:szCs w:val="20"/>
        </w:rPr>
        <w:t>Jambi Province and Regency/City Per Capita Expenditure 2010-2020</w:t>
      </w:r>
    </w:p>
    <w:p w14:paraId="1346856D" w14:textId="77777777" w:rsidR="00BE7002" w:rsidRPr="00BE7002" w:rsidRDefault="00BE7002" w:rsidP="00BE7002">
      <w:pPr>
        <w:spacing w:after="0" w:line="240" w:lineRule="auto"/>
        <w:outlineLvl w:val="0"/>
        <w:rPr>
          <w:sz w:val="20"/>
          <w:szCs w:val="20"/>
        </w:rPr>
      </w:pPr>
      <w:r w:rsidRPr="00850043">
        <w:rPr>
          <w:b/>
          <w:sz w:val="20"/>
          <w:szCs w:val="20"/>
        </w:rPr>
        <w:t>Source</w:t>
      </w:r>
      <w:r w:rsidRPr="0061125E">
        <w:rPr>
          <w:sz w:val="20"/>
          <w:szCs w:val="20"/>
        </w:rPr>
        <w:t xml:space="preserve">: </w:t>
      </w:r>
      <w:r>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Pr>
          <w:sz w:val="20"/>
          <w:szCs w:val="20"/>
        </w:rPr>
        <w:fldChar w:fldCharType="separate"/>
      </w:r>
      <w:r w:rsidRPr="00CF5E62">
        <w:rPr>
          <w:noProof/>
          <w:sz w:val="20"/>
          <w:szCs w:val="20"/>
        </w:rPr>
        <w:t>BPS Provinsi Jambi, 2020a</w:t>
      </w:r>
      <w:r>
        <w:rPr>
          <w:sz w:val="20"/>
          <w:szCs w:val="20"/>
        </w:rPr>
        <w:fldChar w:fldCharType="end"/>
      </w:r>
    </w:p>
    <w:p w14:paraId="13796072" w14:textId="77777777" w:rsidR="00EF313E" w:rsidRDefault="00BE7002" w:rsidP="00BE7002">
      <w:pPr>
        <w:spacing w:before="120" w:after="120" w:line="240" w:lineRule="auto"/>
      </w:pPr>
      <w:r>
        <w:t>4</w:t>
      </w:r>
      <w:r w:rsidR="00EF313E">
        <w:t>.1</w:t>
      </w:r>
      <w:r>
        <w:t xml:space="preserve"> Panel Data Analysis Result</w:t>
      </w:r>
    </w:p>
    <w:p w14:paraId="3275B195" w14:textId="253805E6" w:rsidR="00BE7002" w:rsidRDefault="00BE7002" w:rsidP="00BE7002">
      <w:pPr>
        <w:spacing w:before="120" w:after="120" w:line="240" w:lineRule="auto"/>
        <w:ind w:firstLine="426"/>
        <w:jc w:val="both"/>
      </w:pPr>
      <w:r w:rsidRPr="00BE7002">
        <w:t xml:space="preserve">The model used in this study is the Random Effect. This is known from the Chow test, Hausman test, and Lagrange Multiplier test. Chow test results obtained a statistical F value of 6.894708 with </w:t>
      </w:r>
      <w:proofErr w:type="spellStart"/>
      <w:r w:rsidRPr="00BE7002">
        <w:t>d.f</w:t>
      </w:r>
      <w:proofErr w:type="spellEnd"/>
      <w:r w:rsidRPr="00BE7002">
        <w:t xml:space="preserve"> (10.106). The probability of cross-section Chi-square is significant with a value of 0.0000. </w:t>
      </w:r>
      <w:proofErr w:type="gramStart"/>
      <w:r w:rsidRPr="00BE7002">
        <w:t>So</w:t>
      </w:r>
      <w:proofErr w:type="gramEnd"/>
      <w:r w:rsidRPr="00BE7002">
        <w:t xml:space="preserve"> it can be concluded that p value &lt; 0.05, this means that the results of the Chow test refuse to use the Common Effect Model and accept the Fixed Effect Model. Then continued with Hausman test, the Chi-square statistic result is 4.994883 with Chi-square </w:t>
      </w:r>
      <w:proofErr w:type="spellStart"/>
      <w:r w:rsidRPr="00BE7002">
        <w:t>d.f</w:t>
      </w:r>
      <w:proofErr w:type="spellEnd"/>
      <w:r w:rsidRPr="00BE7002">
        <w:t xml:space="preserve"> is 4. The probability value is 0.2878. It can be concluded that p value &gt; 0.05, this means that the Hausman test results refuse to use the Fixed Effect Model and accept the Random Effect Model. Because the results are different between the </w:t>
      </w:r>
      <w:r w:rsidRPr="00BE7002">
        <w:lastRenderedPageBreak/>
        <w:t xml:space="preserve">Chow and Hausman tests, it continues to the Lagrange Multiplier test. the results of the Lagrange Multiplier test obtained the probability value of Breusch-Pagan Both of 0.0000. It can be concluded that p value &gt; 0.05, this means that the results of the Lagrange Multiplier Test refuse to use the Common Effect Model and accept the Random Effect Model. </w:t>
      </w:r>
      <w:proofErr w:type="gramStart"/>
      <w:r w:rsidRPr="00BE7002">
        <w:t>So</w:t>
      </w:r>
      <w:proofErr w:type="gramEnd"/>
      <w:r w:rsidRPr="00BE7002">
        <w:t xml:space="preserve"> it can be concluded that the chosen model is the Random Effect model. The following is the regression result of the Random Effect Model data estimation.</w:t>
      </w:r>
    </w:p>
    <w:p w14:paraId="71471B0C" w14:textId="77777777" w:rsidR="000801F4" w:rsidRDefault="000801F4" w:rsidP="00BE7002">
      <w:pPr>
        <w:spacing w:before="120" w:after="120" w:line="240" w:lineRule="auto"/>
        <w:ind w:firstLine="426"/>
        <w:jc w:val="both"/>
      </w:pPr>
    </w:p>
    <w:p w14:paraId="682A757F" w14:textId="77777777" w:rsidR="00BE7002" w:rsidRDefault="00BE7002" w:rsidP="00BE7002">
      <w:pPr>
        <w:spacing w:before="120" w:after="120" w:line="240" w:lineRule="auto"/>
        <w:jc w:val="both"/>
      </w:pPr>
      <w:r w:rsidRPr="00BE7002">
        <w:rPr>
          <w:b/>
        </w:rPr>
        <w:t xml:space="preserve">Table </w:t>
      </w:r>
      <w:r>
        <w:rPr>
          <w:b/>
        </w:rPr>
        <w:t>1</w:t>
      </w:r>
      <w:r w:rsidRPr="00BE7002">
        <w:t>. Regression Results of Panel Random Effect Model Data Estimation</w:t>
      </w:r>
    </w:p>
    <w:tbl>
      <w:tblPr>
        <w:tblStyle w:val="TableGrid"/>
        <w:tblW w:w="8733" w:type="dxa"/>
        <w:jc w:val="center"/>
        <w:tblLook w:val="04A0" w:firstRow="1" w:lastRow="0" w:firstColumn="1" w:lastColumn="0" w:noHBand="0" w:noVBand="1"/>
      </w:tblPr>
      <w:tblGrid>
        <w:gridCol w:w="2024"/>
        <w:gridCol w:w="1226"/>
        <w:gridCol w:w="1862"/>
        <w:gridCol w:w="2008"/>
        <w:gridCol w:w="1613"/>
      </w:tblGrid>
      <w:tr w:rsidR="00456A37" w:rsidRPr="00BE7002" w14:paraId="45CFBF44" w14:textId="77777777" w:rsidTr="00BE7002">
        <w:trPr>
          <w:jc w:val="center"/>
        </w:trPr>
        <w:tc>
          <w:tcPr>
            <w:tcW w:w="2031" w:type="dxa"/>
            <w:tcBorders>
              <w:left w:val="nil"/>
              <w:right w:val="nil"/>
            </w:tcBorders>
            <w:vAlign w:val="center"/>
          </w:tcPr>
          <w:p w14:paraId="3FEA7735" w14:textId="77777777" w:rsidR="00BE7002" w:rsidRPr="00456A37" w:rsidRDefault="00BE7002" w:rsidP="00456A37">
            <w:pPr>
              <w:autoSpaceDE w:val="0"/>
              <w:autoSpaceDN w:val="0"/>
              <w:adjustRightInd w:val="0"/>
              <w:jc w:val="center"/>
              <w:rPr>
                <w:rFonts w:cs="Arial"/>
                <w:b/>
                <w:szCs w:val="18"/>
              </w:rPr>
            </w:pPr>
            <w:r w:rsidRPr="00456A37">
              <w:rPr>
                <w:rFonts w:cs="Arial"/>
                <w:b/>
                <w:szCs w:val="18"/>
              </w:rPr>
              <w:t>Variable</w:t>
            </w:r>
          </w:p>
        </w:tc>
        <w:tc>
          <w:tcPr>
            <w:tcW w:w="1206" w:type="dxa"/>
            <w:tcBorders>
              <w:left w:val="nil"/>
              <w:right w:val="nil"/>
            </w:tcBorders>
            <w:vAlign w:val="center"/>
          </w:tcPr>
          <w:p w14:paraId="20EBFF94" w14:textId="77777777" w:rsidR="00BE7002" w:rsidRPr="00456A37" w:rsidRDefault="00BE7002" w:rsidP="00456A37">
            <w:pPr>
              <w:autoSpaceDE w:val="0"/>
              <w:autoSpaceDN w:val="0"/>
              <w:adjustRightInd w:val="0"/>
              <w:ind w:right="20"/>
              <w:jc w:val="center"/>
              <w:rPr>
                <w:rFonts w:cs="Arial"/>
                <w:b/>
                <w:szCs w:val="18"/>
              </w:rPr>
            </w:pPr>
            <w:r w:rsidRPr="00456A37">
              <w:rPr>
                <w:rFonts w:cs="Arial"/>
                <w:b/>
                <w:szCs w:val="18"/>
              </w:rPr>
              <w:t>Coefficient</w:t>
            </w:r>
          </w:p>
        </w:tc>
        <w:tc>
          <w:tcPr>
            <w:tcW w:w="1866" w:type="dxa"/>
            <w:tcBorders>
              <w:left w:val="nil"/>
              <w:right w:val="nil"/>
            </w:tcBorders>
            <w:vAlign w:val="center"/>
          </w:tcPr>
          <w:p w14:paraId="18B883A5" w14:textId="77777777" w:rsidR="00BE7002" w:rsidRPr="00456A37" w:rsidRDefault="00BE7002" w:rsidP="00456A37">
            <w:pPr>
              <w:autoSpaceDE w:val="0"/>
              <w:autoSpaceDN w:val="0"/>
              <w:adjustRightInd w:val="0"/>
              <w:ind w:right="20"/>
              <w:jc w:val="center"/>
              <w:rPr>
                <w:rFonts w:cs="Arial"/>
                <w:b/>
                <w:szCs w:val="18"/>
              </w:rPr>
            </w:pPr>
            <w:r w:rsidRPr="00456A37">
              <w:rPr>
                <w:rFonts w:cs="Arial"/>
                <w:b/>
                <w:szCs w:val="18"/>
              </w:rPr>
              <w:t>Std. Error</w:t>
            </w:r>
          </w:p>
        </w:tc>
        <w:tc>
          <w:tcPr>
            <w:tcW w:w="2013" w:type="dxa"/>
            <w:tcBorders>
              <w:left w:val="nil"/>
              <w:right w:val="nil"/>
            </w:tcBorders>
            <w:vAlign w:val="center"/>
          </w:tcPr>
          <w:p w14:paraId="799F113A" w14:textId="77777777" w:rsidR="00BE7002" w:rsidRPr="00456A37" w:rsidRDefault="00BE7002" w:rsidP="00456A37">
            <w:pPr>
              <w:autoSpaceDE w:val="0"/>
              <w:autoSpaceDN w:val="0"/>
              <w:adjustRightInd w:val="0"/>
              <w:ind w:right="20"/>
              <w:jc w:val="center"/>
              <w:rPr>
                <w:rFonts w:cs="Arial"/>
                <w:b/>
                <w:szCs w:val="18"/>
              </w:rPr>
            </w:pPr>
            <w:r w:rsidRPr="00456A37">
              <w:rPr>
                <w:rFonts w:cs="Arial"/>
                <w:b/>
                <w:szCs w:val="18"/>
              </w:rPr>
              <w:t>t-Statistic</w:t>
            </w:r>
          </w:p>
        </w:tc>
        <w:tc>
          <w:tcPr>
            <w:tcW w:w="1617" w:type="dxa"/>
            <w:tcBorders>
              <w:left w:val="nil"/>
              <w:right w:val="nil"/>
            </w:tcBorders>
            <w:vAlign w:val="center"/>
          </w:tcPr>
          <w:p w14:paraId="6664D86D" w14:textId="77777777" w:rsidR="00BE7002" w:rsidRPr="00456A37" w:rsidRDefault="00BE7002" w:rsidP="00456A37">
            <w:pPr>
              <w:autoSpaceDE w:val="0"/>
              <w:autoSpaceDN w:val="0"/>
              <w:adjustRightInd w:val="0"/>
              <w:ind w:right="20"/>
              <w:jc w:val="center"/>
              <w:rPr>
                <w:rFonts w:cs="Arial"/>
                <w:b/>
                <w:szCs w:val="18"/>
              </w:rPr>
            </w:pPr>
            <w:r w:rsidRPr="00456A37">
              <w:rPr>
                <w:rFonts w:cs="Arial"/>
                <w:b/>
                <w:szCs w:val="18"/>
              </w:rPr>
              <w:t>Prob.</w:t>
            </w:r>
          </w:p>
        </w:tc>
      </w:tr>
      <w:tr w:rsidR="00456A37" w:rsidRPr="00BE7002" w14:paraId="561C134D" w14:textId="77777777" w:rsidTr="00BE7002">
        <w:trPr>
          <w:jc w:val="center"/>
        </w:trPr>
        <w:tc>
          <w:tcPr>
            <w:tcW w:w="2031" w:type="dxa"/>
            <w:tcBorders>
              <w:left w:val="nil"/>
              <w:right w:val="nil"/>
            </w:tcBorders>
            <w:vAlign w:val="center"/>
          </w:tcPr>
          <w:p w14:paraId="4DE95C3C" w14:textId="77777777" w:rsidR="00BE7002" w:rsidRPr="00BE7002" w:rsidRDefault="00BE7002" w:rsidP="00456A37">
            <w:pPr>
              <w:autoSpaceDE w:val="0"/>
              <w:autoSpaceDN w:val="0"/>
              <w:adjustRightInd w:val="0"/>
              <w:jc w:val="center"/>
              <w:rPr>
                <w:rFonts w:cs="Arial"/>
                <w:szCs w:val="18"/>
              </w:rPr>
            </w:pPr>
            <w:r w:rsidRPr="00BE7002">
              <w:rPr>
                <w:rFonts w:cs="Arial"/>
                <w:szCs w:val="18"/>
              </w:rPr>
              <w:t>C</w:t>
            </w:r>
          </w:p>
        </w:tc>
        <w:tc>
          <w:tcPr>
            <w:tcW w:w="1206" w:type="dxa"/>
            <w:tcBorders>
              <w:left w:val="nil"/>
              <w:right w:val="nil"/>
            </w:tcBorders>
            <w:vAlign w:val="center"/>
          </w:tcPr>
          <w:p w14:paraId="0C843D0C"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2.886780</w:t>
            </w:r>
          </w:p>
        </w:tc>
        <w:tc>
          <w:tcPr>
            <w:tcW w:w="1866" w:type="dxa"/>
            <w:tcBorders>
              <w:left w:val="nil"/>
              <w:right w:val="nil"/>
            </w:tcBorders>
            <w:vAlign w:val="center"/>
          </w:tcPr>
          <w:p w14:paraId="4826A144"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1.632032</w:t>
            </w:r>
          </w:p>
        </w:tc>
        <w:tc>
          <w:tcPr>
            <w:tcW w:w="2013" w:type="dxa"/>
            <w:tcBorders>
              <w:left w:val="nil"/>
              <w:right w:val="nil"/>
            </w:tcBorders>
            <w:vAlign w:val="center"/>
          </w:tcPr>
          <w:p w14:paraId="0D05987B"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1.768825</w:t>
            </w:r>
          </w:p>
        </w:tc>
        <w:tc>
          <w:tcPr>
            <w:tcW w:w="1617" w:type="dxa"/>
            <w:tcBorders>
              <w:left w:val="nil"/>
              <w:right w:val="nil"/>
            </w:tcBorders>
            <w:vAlign w:val="center"/>
          </w:tcPr>
          <w:p w14:paraId="2AB753F1"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0.0796</w:t>
            </w:r>
          </w:p>
        </w:tc>
      </w:tr>
      <w:tr w:rsidR="00456A37" w:rsidRPr="00BE7002" w14:paraId="3F382927" w14:textId="77777777" w:rsidTr="00BE7002">
        <w:trPr>
          <w:jc w:val="center"/>
        </w:trPr>
        <w:tc>
          <w:tcPr>
            <w:tcW w:w="2031" w:type="dxa"/>
            <w:tcBorders>
              <w:left w:val="nil"/>
              <w:right w:val="nil"/>
            </w:tcBorders>
            <w:vAlign w:val="center"/>
          </w:tcPr>
          <w:p w14:paraId="0E1D4725" w14:textId="77777777" w:rsidR="00BE7002" w:rsidRPr="00BE7002" w:rsidRDefault="00BE7002" w:rsidP="00456A37">
            <w:pPr>
              <w:autoSpaceDE w:val="0"/>
              <w:autoSpaceDN w:val="0"/>
              <w:adjustRightInd w:val="0"/>
              <w:jc w:val="center"/>
              <w:rPr>
                <w:rFonts w:cs="Arial"/>
                <w:szCs w:val="18"/>
              </w:rPr>
            </w:pPr>
            <w:r w:rsidRPr="00BE7002">
              <w:rPr>
                <w:rFonts w:cs="Arial"/>
                <w:szCs w:val="18"/>
              </w:rPr>
              <w:t>X1</w:t>
            </w:r>
          </w:p>
        </w:tc>
        <w:tc>
          <w:tcPr>
            <w:tcW w:w="1206" w:type="dxa"/>
            <w:tcBorders>
              <w:left w:val="nil"/>
              <w:right w:val="nil"/>
            </w:tcBorders>
            <w:vAlign w:val="center"/>
          </w:tcPr>
          <w:p w14:paraId="143F0593"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0.456465</w:t>
            </w:r>
          </w:p>
        </w:tc>
        <w:tc>
          <w:tcPr>
            <w:tcW w:w="1866" w:type="dxa"/>
            <w:tcBorders>
              <w:left w:val="nil"/>
              <w:right w:val="nil"/>
            </w:tcBorders>
            <w:vAlign w:val="center"/>
          </w:tcPr>
          <w:p w14:paraId="50C5958B"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0.025619</w:t>
            </w:r>
          </w:p>
        </w:tc>
        <w:tc>
          <w:tcPr>
            <w:tcW w:w="2013" w:type="dxa"/>
            <w:tcBorders>
              <w:left w:val="nil"/>
              <w:right w:val="nil"/>
            </w:tcBorders>
            <w:vAlign w:val="center"/>
          </w:tcPr>
          <w:p w14:paraId="4706D7BA"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17.81708</w:t>
            </w:r>
          </w:p>
        </w:tc>
        <w:tc>
          <w:tcPr>
            <w:tcW w:w="1617" w:type="dxa"/>
            <w:tcBorders>
              <w:left w:val="nil"/>
              <w:right w:val="nil"/>
            </w:tcBorders>
            <w:vAlign w:val="center"/>
          </w:tcPr>
          <w:p w14:paraId="6C8ED96D"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0.0000</w:t>
            </w:r>
          </w:p>
        </w:tc>
      </w:tr>
      <w:tr w:rsidR="00456A37" w:rsidRPr="00BE7002" w14:paraId="483A4584" w14:textId="77777777" w:rsidTr="00BE7002">
        <w:trPr>
          <w:jc w:val="center"/>
        </w:trPr>
        <w:tc>
          <w:tcPr>
            <w:tcW w:w="2031" w:type="dxa"/>
            <w:tcBorders>
              <w:left w:val="nil"/>
              <w:right w:val="nil"/>
            </w:tcBorders>
            <w:vAlign w:val="center"/>
          </w:tcPr>
          <w:p w14:paraId="688F8F10" w14:textId="77777777" w:rsidR="00BE7002" w:rsidRPr="00BE7002" w:rsidRDefault="00BE7002" w:rsidP="00456A37">
            <w:pPr>
              <w:autoSpaceDE w:val="0"/>
              <w:autoSpaceDN w:val="0"/>
              <w:adjustRightInd w:val="0"/>
              <w:jc w:val="center"/>
              <w:rPr>
                <w:rFonts w:cs="Arial"/>
                <w:szCs w:val="18"/>
              </w:rPr>
            </w:pPr>
            <w:r w:rsidRPr="00BE7002">
              <w:rPr>
                <w:rFonts w:cs="Arial"/>
                <w:szCs w:val="18"/>
              </w:rPr>
              <w:t>X2</w:t>
            </w:r>
          </w:p>
        </w:tc>
        <w:tc>
          <w:tcPr>
            <w:tcW w:w="1206" w:type="dxa"/>
            <w:tcBorders>
              <w:left w:val="nil"/>
              <w:right w:val="nil"/>
            </w:tcBorders>
            <w:vAlign w:val="center"/>
          </w:tcPr>
          <w:p w14:paraId="6670471B"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1.078882</w:t>
            </w:r>
          </w:p>
        </w:tc>
        <w:tc>
          <w:tcPr>
            <w:tcW w:w="1866" w:type="dxa"/>
            <w:tcBorders>
              <w:left w:val="nil"/>
              <w:right w:val="nil"/>
            </w:tcBorders>
            <w:vAlign w:val="center"/>
          </w:tcPr>
          <w:p w14:paraId="7C64BF08"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0.037816</w:t>
            </w:r>
          </w:p>
        </w:tc>
        <w:tc>
          <w:tcPr>
            <w:tcW w:w="2013" w:type="dxa"/>
            <w:tcBorders>
              <w:left w:val="nil"/>
              <w:right w:val="nil"/>
            </w:tcBorders>
            <w:vAlign w:val="center"/>
          </w:tcPr>
          <w:p w14:paraId="40018925"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28.52948</w:t>
            </w:r>
          </w:p>
        </w:tc>
        <w:tc>
          <w:tcPr>
            <w:tcW w:w="1617" w:type="dxa"/>
            <w:tcBorders>
              <w:left w:val="nil"/>
              <w:right w:val="nil"/>
            </w:tcBorders>
            <w:vAlign w:val="center"/>
          </w:tcPr>
          <w:p w14:paraId="15F7385F"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0.0000</w:t>
            </w:r>
          </w:p>
        </w:tc>
      </w:tr>
      <w:tr w:rsidR="00456A37" w:rsidRPr="00BE7002" w14:paraId="3C37F724" w14:textId="77777777" w:rsidTr="00BE7002">
        <w:trPr>
          <w:jc w:val="center"/>
        </w:trPr>
        <w:tc>
          <w:tcPr>
            <w:tcW w:w="2031" w:type="dxa"/>
            <w:tcBorders>
              <w:left w:val="nil"/>
              <w:right w:val="nil"/>
            </w:tcBorders>
            <w:vAlign w:val="center"/>
          </w:tcPr>
          <w:p w14:paraId="7E89AAD9" w14:textId="77777777" w:rsidR="00BE7002" w:rsidRPr="00BE7002" w:rsidRDefault="00BE7002" w:rsidP="00456A37">
            <w:pPr>
              <w:autoSpaceDE w:val="0"/>
              <w:autoSpaceDN w:val="0"/>
              <w:adjustRightInd w:val="0"/>
              <w:jc w:val="center"/>
              <w:rPr>
                <w:rFonts w:cs="Arial"/>
                <w:szCs w:val="18"/>
              </w:rPr>
            </w:pPr>
            <w:r w:rsidRPr="00BE7002">
              <w:rPr>
                <w:rFonts w:cs="Arial"/>
                <w:szCs w:val="18"/>
              </w:rPr>
              <w:t>X3</w:t>
            </w:r>
          </w:p>
        </w:tc>
        <w:tc>
          <w:tcPr>
            <w:tcW w:w="1206" w:type="dxa"/>
            <w:tcBorders>
              <w:left w:val="nil"/>
              <w:right w:val="nil"/>
            </w:tcBorders>
            <w:vAlign w:val="center"/>
          </w:tcPr>
          <w:p w14:paraId="026C3521"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1.225342</w:t>
            </w:r>
          </w:p>
        </w:tc>
        <w:tc>
          <w:tcPr>
            <w:tcW w:w="1866" w:type="dxa"/>
            <w:tcBorders>
              <w:left w:val="nil"/>
              <w:right w:val="nil"/>
            </w:tcBorders>
            <w:vAlign w:val="center"/>
          </w:tcPr>
          <w:p w14:paraId="0C3EF4DB"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0.051361</w:t>
            </w:r>
          </w:p>
        </w:tc>
        <w:tc>
          <w:tcPr>
            <w:tcW w:w="2013" w:type="dxa"/>
            <w:tcBorders>
              <w:left w:val="nil"/>
              <w:right w:val="nil"/>
            </w:tcBorders>
            <w:vAlign w:val="center"/>
          </w:tcPr>
          <w:p w14:paraId="66441C12"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23.85744</w:t>
            </w:r>
          </w:p>
        </w:tc>
        <w:tc>
          <w:tcPr>
            <w:tcW w:w="1617" w:type="dxa"/>
            <w:tcBorders>
              <w:left w:val="nil"/>
              <w:right w:val="nil"/>
            </w:tcBorders>
            <w:vAlign w:val="center"/>
          </w:tcPr>
          <w:p w14:paraId="5DF5DD4F"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0.0000</w:t>
            </w:r>
          </w:p>
        </w:tc>
      </w:tr>
      <w:tr w:rsidR="00456A37" w:rsidRPr="00BE7002" w14:paraId="422761A6" w14:textId="77777777" w:rsidTr="00BE7002">
        <w:trPr>
          <w:jc w:val="center"/>
        </w:trPr>
        <w:tc>
          <w:tcPr>
            <w:tcW w:w="2031" w:type="dxa"/>
            <w:tcBorders>
              <w:left w:val="nil"/>
              <w:right w:val="nil"/>
            </w:tcBorders>
            <w:vAlign w:val="center"/>
          </w:tcPr>
          <w:p w14:paraId="4A10F8F1" w14:textId="77777777" w:rsidR="00BE7002" w:rsidRPr="00BE7002" w:rsidRDefault="00BE7002" w:rsidP="00456A37">
            <w:pPr>
              <w:autoSpaceDE w:val="0"/>
              <w:autoSpaceDN w:val="0"/>
              <w:adjustRightInd w:val="0"/>
              <w:jc w:val="center"/>
              <w:rPr>
                <w:rFonts w:cs="Arial"/>
                <w:szCs w:val="18"/>
              </w:rPr>
            </w:pPr>
            <w:r w:rsidRPr="00BE7002">
              <w:rPr>
                <w:rFonts w:cs="Arial"/>
                <w:szCs w:val="18"/>
              </w:rPr>
              <w:t>X4</w:t>
            </w:r>
          </w:p>
        </w:tc>
        <w:tc>
          <w:tcPr>
            <w:tcW w:w="1206" w:type="dxa"/>
            <w:tcBorders>
              <w:left w:val="nil"/>
              <w:right w:val="nil"/>
            </w:tcBorders>
            <w:vAlign w:val="center"/>
          </w:tcPr>
          <w:p w14:paraId="082B1FBA"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0.001091</w:t>
            </w:r>
          </w:p>
        </w:tc>
        <w:tc>
          <w:tcPr>
            <w:tcW w:w="1866" w:type="dxa"/>
            <w:tcBorders>
              <w:left w:val="nil"/>
              <w:right w:val="nil"/>
            </w:tcBorders>
            <w:vAlign w:val="center"/>
          </w:tcPr>
          <w:p w14:paraId="796CE4CE"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2.68E-05</w:t>
            </w:r>
          </w:p>
        </w:tc>
        <w:tc>
          <w:tcPr>
            <w:tcW w:w="2013" w:type="dxa"/>
            <w:tcBorders>
              <w:left w:val="nil"/>
              <w:right w:val="nil"/>
            </w:tcBorders>
            <w:vAlign w:val="center"/>
          </w:tcPr>
          <w:p w14:paraId="6192A28D"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40.65257</w:t>
            </w:r>
          </w:p>
        </w:tc>
        <w:tc>
          <w:tcPr>
            <w:tcW w:w="1617" w:type="dxa"/>
            <w:tcBorders>
              <w:left w:val="nil"/>
              <w:right w:val="nil"/>
            </w:tcBorders>
            <w:vAlign w:val="center"/>
          </w:tcPr>
          <w:p w14:paraId="5172F4D5" w14:textId="77777777" w:rsidR="00BE7002" w:rsidRPr="00BE7002" w:rsidRDefault="00BE7002" w:rsidP="00456A37">
            <w:pPr>
              <w:autoSpaceDE w:val="0"/>
              <w:autoSpaceDN w:val="0"/>
              <w:adjustRightInd w:val="0"/>
              <w:ind w:right="20"/>
              <w:jc w:val="center"/>
              <w:rPr>
                <w:rFonts w:cs="Arial"/>
                <w:szCs w:val="18"/>
              </w:rPr>
            </w:pPr>
            <w:r w:rsidRPr="00BE7002">
              <w:rPr>
                <w:rFonts w:cs="Arial"/>
                <w:szCs w:val="18"/>
              </w:rPr>
              <w:t>0.0000</w:t>
            </w:r>
          </w:p>
        </w:tc>
      </w:tr>
    </w:tbl>
    <w:p w14:paraId="7BDA0813" w14:textId="77777777" w:rsidR="00BE7002" w:rsidRDefault="00BE7002" w:rsidP="00BE7002">
      <w:pPr>
        <w:spacing w:after="0" w:line="240" w:lineRule="auto"/>
        <w:outlineLvl w:val="0"/>
        <w:rPr>
          <w:sz w:val="20"/>
          <w:szCs w:val="20"/>
        </w:rPr>
      </w:pPr>
      <w:r w:rsidRPr="00850043">
        <w:rPr>
          <w:b/>
          <w:sz w:val="20"/>
          <w:szCs w:val="20"/>
        </w:rPr>
        <w:t>Source</w:t>
      </w:r>
      <w:r w:rsidRPr="0061125E">
        <w:rPr>
          <w:sz w:val="20"/>
          <w:szCs w:val="20"/>
        </w:rPr>
        <w:t xml:space="preserve">: </w:t>
      </w:r>
      <w:r w:rsidR="00456A37">
        <w:rPr>
          <w:sz w:val="20"/>
          <w:szCs w:val="20"/>
        </w:rPr>
        <w:t xml:space="preserve">Author’s Calculation from </w:t>
      </w:r>
      <w:r w:rsidR="00456A37">
        <w:rPr>
          <w:sz w:val="20"/>
          <w:szCs w:val="20"/>
        </w:rPr>
        <w:fldChar w:fldCharType="begin" w:fldLock="1"/>
      </w:r>
      <w:r w:rsidR="00456A37">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sidR="00456A37">
        <w:rPr>
          <w:sz w:val="20"/>
          <w:szCs w:val="20"/>
        </w:rPr>
        <w:fldChar w:fldCharType="separate"/>
      </w:r>
      <w:r w:rsidR="00456A37" w:rsidRPr="00CF5E62">
        <w:rPr>
          <w:noProof/>
          <w:sz w:val="20"/>
          <w:szCs w:val="20"/>
        </w:rPr>
        <w:t>BPS Provinsi Jambi, 2020a</w:t>
      </w:r>
      <w:r w:rsidR="00456A37">
        <w:rPr>
          <w:sz w:val="20"/>
          <w:szCs w:val="20"/>
        </w:rPr>
        <w:fldChar w:fldCharType="end"/>
      </w:r>
      <w:r w:rsidR="00456A37">
        <w:rPr>
          <w:sz w:val="20"/>
          <w:szCs w:val="20"/>
        </w:rPr>
        <w:t xml:space="preserve"> </w:t>
      </w:r>
      <w:r w:rsidR="00456A37" w:rsidRPr="00456A37">
        <w:rPr>
          <w:sz w:val="20"/>
          <w:szCs w:val="20"/>
        </w:rPr>
        <w:t>processed</w:t>
      </w:r>
    </w:p>
    <w:p w14:paraId="7674BAE2" w14:textId="77777777" w:rsidR="00456A37" w:rsidRPr="00BE7002" w:rsidRDefault="00456A37" w:rsidP="00BE7002">
      <w:pPr>
        <w:spacing w:after="0" w:line="240" w:lineRule="auto"/>
        <w:outlineLvl w:val="0"/>
        <w:rPr>
          <w:sz w:val="20"/>
          <w:szCs w:val="20"/>
        </w:rPr>
      </w:pPr>
    </w:p>
    <w:p w14:paraId="77326536" w14:textId="77777777" w:rsidR="00BE7002" w:rsidRDefault="00456A37" w:rsidP="00456A37">
      <w:pPr>
        <w:spacing w:before="120" w:after="120" w:line="240" w:lineRule="auto"/>
        <w:ind w:firstLine="426"/>
        <w:jc w:val="both"/>
      </w:pPr>
      <w:r w:rsidRPr="00456A37">
        <w:t>Based on the table variable C is a constant, X1 is an indicator of life expectancy (</w:t>
      </w:r>
      <w:r>
        <w:t>LE</w:t>
      </w:r>
      <w:r w:rsidRPr="00456A37">
        <w:t>), X2 is an indicator of long-term school expectations (</w:t>
      </w:r>
      <w:r>
        <w:t>LSE</w:t>
      </w:r>
      <w:r w:rsidRPr="00456A37">
        <w:t>), X3 is an indicator o</w:t>
      </w:r>
      <w:r>
        <w:t>f average length of schooling (A</w:t>
      </w:r>
      <w:r w:rsidRPr="00456A37">
        <w:t xml:space="preserve">LS), and X4 is an indicator of adjusted </w:t>
      </w:r>
      <w:r>
        <w:t>Expenditures Per Capita. Table 1</w:t>
      </w:r>
      <w:r w:rsidRPr="00456A37">
        <w:t xml:space="preserve"> shows that the estimation of the Random Effect Model approach, all independent variables, namely </w:t>
      </w:r>
      <w:r>
        <w:t>LE, LSE, A</w:t>
      </w:r>
      <w:r w:rsidRPr="00456A37">
        <w:t>LS and Per Capita Expenditure have a significant effect on the dependent variable, namely the human development index (</w:t>
      </w:r>
      <w:r>
        <w:t>HDI</w:t>
      </w:r>
      <w:r w:rsidRPr="00456A37">
        <w:t>). The following is the equation model from the estimation results of the Random Effect Model approach:</w:t>
      </w:r>
    </w:p>
    <w:p w14:paraId="6361C539" w14:textId="77777777" w:rsidR="00456A37" w:rsidRPr="00456A37" w:rsidRDefault="00456A37" w:rsidP="00456A37">
      <w:pPr>
        <w:pStyle w:val="BodyText"/>
        <w:spacing w:before="7"/>
        <w:ind w:left="142" w:firstLine="125"/>
        <w:jc w:val="center"/>
        <w:rPr>
          <w:rFonts w:ascii="Times New Roman" w:hAnsi="Times New Roman" w:cs="Times New Roman"/>
          <w:sz w:val="22"/>
        </w:rPr>
      </w:pPr>
      <w:r w:rsidRPr="00456A37">
        <w:rPr>
          <w:rFonts w:ascii="Times New Roman" w:hAnsi="Times New Roman" w:cs="Times New Roman"/>
          <w:sz w:val="22"/>
        </w:rPr>
        <w:t>IPM = 2.886780 + 0.456465X1 + 1.078882X2 +</w:t>
      </w:r>
      <w:r>
        <w:rPr>
          <w:rFonts w:ascii="Times New Roman" w:hAnsi="Times New Roman" w:cs="Times New Roman"/>
          <w:sz w:val="22"/>
        </w:rPr>
        <w:t xml:space="preserve"> </w:t>
      </w:r>
      <w:r w:rsidRPr="00456A37">
        <w:rPr>
          <w:rFonts w:ascii="Times New Roman" w:hAnsi="Times New Roman" w:cs="Times New Roman"/>
          <w:sz w:val="22"/>
        </w:rPr>
        <w:t>1.225342X3 + 0.001091X4 + e</w:t>
      </w:r>
    </w:p>
    <w:p w14:paraId="38D7F83F" w14:textId="77777777" w:rsidR="00456A37" w:rsidRDefault="00456A37" w:rsidP="00456A37">
      <w:pPr>
        <w:spacing w:before="120" w:after="120" w:line="240" w:lineRule="auto"/>
        <w:ind w:firstLine="426"/>
        <w:jc w:val="both"/>
      </w:pPr>
      <w:r w:rsidRPr="00456A37">
        <w:t>Then the t-test and F-test on the Random Effects model were carried out to ensure that the selected model was feasible or not to interpret the influence of the independent variables on the dependent variable and test the individual regression coefficients. The following are the results of the Random Effect Model t test for each HDI indicator.</w:t>
      </w:r>
    </w:p>
    <w:p w14:paraId="505B48E0" w14:textId="77777777" w:rsidR="00456A37" w:rsidRPr="00456A37" w:rsidRDefault="006F25F8" w:rsidP="00456A37">
      <w:pPr>
        <w:pStyle w:val="BodyText"/>
        <w:spacing w:before="7"/>
        <w:rPr>
          <w:rFonts w:ascii="Calibri" w:hAnsi="Calibri" w:cs="Calibri"/>
          <w:sz w:val="22"/>
        </w:rPr>
      </w:pPr>
      <w:proofErr w:type="gramStart"/>
      <w:r>
        <w:rPr>
          <w:rFonts w:ascii="Calibri" w:hAnsi="Calibri" w:cs="Calibri"/>
          <w:b/>
          <w:sz w:val="22"/>
        </w:rPr>
        <w:t>Tab</w:t>
      </w:r>
      <w:r w:rsidR="00456A37" w:rsidRPr="00456A37">
        <w:rPr>
          <w:rFonts w:ascii="Calibri" w:hAnsi="Calibri" w:cs="Calibri"/>
          <w:b/>
          <w:sz w:val="22"/>
        </w:rPr>
        <w:t>l</w:t>
      </w:r>
      <w:r>
        <w:rPr>
          <w:rFonts w:ascii="Calibri" w:hAnsi="Calibri" w:cs="Calibri"/>
          <w:b/>
          <w:sz w:val="22"/>
        </w:rPr>
        <w:t xml:space="preserve">e </w:t>
      </w:r>
      <w:r w:rsidR="00456A37" w:rsidRPr="00456A37">
        <w:rPr>
          <w:rFonts w:ascii="Calibri" w:hAnsi="Calibri" w:cs="Calibri"/>
          <w:b/>
          <w:sz w:val="22"/>
        </w:rPr>
        <w:t xml:space="preserve"> </w:t>
      </w:r>
      <w:r w:rsidR="00456A37">
        <w:rPr>
          <w:rFonts w:ascii="Calibri" w:hAnsi="Calibri" w:cs="Calibri"/>
          <w:b/>
          <w:sz w:val="22"/>
        </w:rPr>
        <w:t>2</w:t>
      </w:r>
      <w:proofErr w:type="gramEnd"/>
      <w:r w:rsidR="00456A37" w:rsidRPr="00456A37">
        <w:rPr>
          <w:rFonts w:ascii="Calibri" w:hAnsi="Calibri" w:cs="Calibri"/>
          <w:sz w:val="22"/>
        </w:rPr>
        <w:t xml:space="preserve">. </w:t>
      </w:r>
      <w:r w:rsidR="00456A37">
        <w:rPr>
          <w:rFonts w:ascii="Calibri" w:hAnsi="Calibri" w:cs="Calibri"/>
          <w:sz w:val="22"/>
        </w:rPr>
        <w:t>t-</w:t>
      </w:r>
      <w:r w:rsidR="00456A37" w:rsidRPr="00456A37">
        <w:rPr>
          <w:rFonts w:ascii="Calibri" w:hAnsi="Calibri" w:cs="Calibri"/>
          <w:sz w:val="22"/>
        </w:rPr>
        <w:t>Test Results Random Effect Model</w:t>
      </w:r>
    </w:p>
    <w:tbl>
      <w:tblPr>
        <w:tblStyle w:val="TableGrid"/>
        <w:tblW w:w="8733" w:type="dxa"/>
        <w:jc w:val="center"/>
        <w:tblLook w:val="04A0" w:firstRow="1" w:lastRow="0" w:firstColumn="1" w:lastColumn="0" w:noHBand="0" w:noVBand="1"/>
      </w:tblPr>
      <w:tblGrid>
        <w:gridCol w:w="3201"/>
        <w:gridCol w:w="1564"/>
        <w:gridCol w:w="1134"/>
        <w:gridCol w:w="1417"/>
        <w:gridCol w:w="1417"/>
      </w:tblGrid>
      <w:tr w:rsidR="00456A37" w:rsidRPr="00BE7002" w14:paraId="68A796DC" w14:textId="77777777" w:rsidTr="0035474D">
        <w:trPr>
          <w:jc w:val="center"/>
        </w:trPr>
        <w:tc>
          <w:tcPr>
            <w:tcW w:w="3201" w:type="dxa"/>
            <w:tcBorders>
              <w:left w:val="nil"/>
              <w:right w:val="nil"/>
            </w:tcBorders>
            <w:vAlign w:val="bottom"/>
          </w:tcPr>
          <w:p w14:paraId="590797DC" w14:textId="77777777" w:rsidR="00456A37" w:rsidRPr="00456A37" w:rsidRDefault="00456A37" w:rsidP="0035474D">
            <w:pPr>
              <w:jc w:val="both"/>
              <w:rPr>
                <w:rFonts w:eastAsia="Times New Roman"/>
                <w:bCs/>
                <w:szCs w:val="24"/>
                <w:lang w:eastAsia="en-ID"/>
              </w:rPr>
            </w:pPr>
            <w:r w:rsidRPr="00456A37">
              <w:rPr>
                <w:rFonts w:eastAsia="Times New Roman"/>
                <w:bCs/>
                <w:szCs w:val="24"/>
                <w:lang w:eastAsia="en-ID"/>
              </w:rPr>
              <w:t>Independent Variable</w:t>
            </w:r>
          </w:p>
        </w:tc>
        <w:tc>
          <w:tcPr>
            <w:tcW w:w="1564" w:type="dxa"/>
            <w:tcBorders>
              <w:left w:val="nil"/>
              <w:right w:val="nil"/>
            </w:tcBorders>
            <w:vAlign w:val="center"/>
          </w:tcPr>
          <w:p w14:paraId="1359AEA3" w14:textId="77777777" w:rsidR="00456A37" w:rsidRPr="00456A37" w:rsidRDefault="00456A37" w:rsidP="00456A37">
            <w:pPr>
              <w:jc w:val="center"/>
              <w:rPr>
                <w:rFonts w:eastAsia="Times New Roman"/>
                <w:bCs/>
                <w:szCs w:val="24"/>
                <w:lang w:eastAsia="en-ID"/>
              </w:rPr>
            </w:pPr>
            <w:r w:rsidRPr="00456A37">
              <w:rPr>
                <w:rFonts w:eastAsia="Times New Roman"/>
                <w:bCs/>
                <w:szCs w:val="24"/>
                <w:lang w:eastAsia="en-ID"/>
              </w:rPr>
              <w:t>t-</w:t>
            </w:r>
            <w:r w:rsidR="0035474D">
              <w:rPr>
                <w:rFonts w:eastAsia="Times New Roman"/>
                <w:bCs/>
                <w:szCs w:val="24"/>
                <w:vertAlign w:val="subscript"/>
                <w:lang w:eastAsia="en-ID"/>
              </w:rPr>
              <w:t>count</w:t>
            </w:r>
          </w:p>
        </w:tc>
        <w:tc>
          <w:tcPr>
            <w:tcW w:w="1134" w:type="dxa"/>
            <w:tcBorders>
              <w:left w:val="nil"/>
              <w:right w:val="nil"/>
            </w:tcBorders>
            <w:vAlign w:val="center"/>
          </w:tcPr>
          <w:p w14:paraId="728D6347" w14:textId="77777777" w:rsidR="00456A37" w:rsidRPr="00456A37" w:rsidRDefault="00456A37" w:rsidP="00456A37">
            <w:pPr>
              <w:jc w:val="center"/>
              <w:rPr>
                <w:rFonts w:eastAsia="Times New Roman"/>
                <w:bCs/>
                <w:szCs w:val="24"/>
                <w:lang w:eastAsia="en-ID"/>
              </w:rPr>
            </w:pPr>
            <w:r w:rsidRPr="00456A37">
              <w:rPr>
                <w:rFonts w:eastAsia="Times New Roman"/>
                <w:bCs/>
                <w:szCs w:val="24"/>
                <w:lang w:eastAsia="en-ID"/>
              </w:rPr>
              <w:t>t-</w:t>
            </w:r>
            <w:r w:rsidRPr="00456A37">
              <w:rPr>
                <w:rFonts w:eastAsia="Times New Roman"/>
                <w:bCs/>
                <w:szCs w:val="24"/>
                <w:vertAlign w:val="subscript"/>
                <w:lang w:eastAsia="en-ID"/>
              </w:rPr>
              <w:t>tab</w:t>
            </w:r>
            <w:r w:rsidR="0035474D">
              <w:rPr>
                <w:rFonts w:eastAsia="Times New Roman"/>
                <w:bCs/>
                <w:szCs w:val="24"/>
                <w:vertAlign w:val="subscript"/>
                <w:lang w:eastAsia="en-ID"/>
              </w:rPr>
              <w:t>le</w:t>
            </w:r>
          </w:p>
        </w:tc>
        <w:tc>
          <w:tcPr>
            <w:tcW w:w="1417" w:type="dxa"/>
            <w:tcBorders>
              <w:left w:val="nil"/>
              <w:right w:val="nil"/>
            </w:tcBorders>
            <w:vAlign w:val="center"/>
          </w:tcPr>
          <w:p w14:paraId="3526803F" w14:textId="77777777" w:rsidR="00456A37" w:rsidRPr="00456A37" w:rsidRDefault="00456A37" w:rsidP="00456A37">
            <w:pPr>
              <w:jc w:val="center"/>
              <w:rPr>
                <w:rFonts w:eastAsia="Times New Roman"/>
                <w:bCs/>
                <w:szCs w:val="24"/>
                <w:lang w:eastAsia="en-ID"/>
              </w:rPr>
            </w:pPr>
            <w:r w:rsidRPr="00456A37">
              <w:rPr>
                <w:rFonts w:eastAsia="Times New Roman"/>
                <w:bCs/>
                <w:szCs w:val="24"/>
                <w:lang w:eastAsia="en-ID"/>
              </w:rPr>
              <w:t>Prob</w:t>
            </w:r>
          </w:p>
        </w:tc>
        <w:tc>
          <w:tcPr>
            <w:tcW w:w="1417" w:type="dxa"/>
            <w:tcBorders>
              <w:left w:val="nil"/>
              <w:right w:val="nil"/>
            </w:tcBorders>
            <w:vAlign w:val="center"/>
          </w:tcPr>
          <w:p w14:paraId="2112C8A1" w14:textId="30C0EC8A" w:rsidR="00456A37" w:rsidRPr="00456A37" w:rsidRDefault="00DE4F9A" w:rsidP="00456A37">
            <w:pPr>
              <w:ind w:right="-68"/>
              <w:jc w:val="center"/>
              <w:rPr>
                <w:rFonts w:eastAsia="Times New Roman"/>
                <w:bCs/>
                <w:szCs w:val="24"/>
                <w:lang w:eastAsia="en-ID"/>
              </w:rPr>
            </w:pPr>
            <w:r>
              <w:rPr>
                <w:rFonts w:eastAsia="Times New Roman"/>
                <w:bCs/>
                <w:szCs w:val="24"/>
                <w:lang w:eastAsia="en-ID"/>
              </w:rPr>
              <w:t>Category</w:t>
            </w:r>
          </w:p>
        </w:tc>
      </w:tr>
      <w:tr w:rsidR="00456A37" w:rsidRPr="00BE7002" w14:paraId="0322B5D4" w14:textId="77777777" w:rsidTr="0035474D">
        <w:trPr>
          <w:jc w:val="center"/>
        </w:trPr>
        <w:tc>
          <w:tcPr>
            <w:tcW w:w="3201" w:type="dxa"/>
            <w:tcBorders>
              <w:left w:val="nil"/>
              <w:right w:val="nil"/>
            </w:tcBorders>
            <w:vAlign w:val="bottom"/>
          </w:tcPr>
          <w:p w14:paraId="005375FB" w14:textId="77777777" w:rsidR="00456A37" w:rsidRPr="00456A37" w:rsidRDefault="00456A37" w:rsidP="00456A37">
            <w:pPr>
              <w:jc w:val="both"/>
              <w:rPr>
                <w:rFonts w:eastAsia="Times New Roman"/>
                <w:szCs w:val="24"/>
                <w:lang w:eastAsia="en-ID"/>
              </w:rPr>
            </w:pPr>
            <w:r w:rsidRPr="00456A37">
              <w:rPr>
                <w:rFonts w:eastAsia="Times New Roman"/>
                <w:szCs w:val="24"/>
                <w:lang w:eastAsia="en-ID"/>
              </w:rPr>
              <w:t>Life Expectancy (</w:t>
            </w:r>
            <w:r>
              <w:rPr>
                <w:rFonts w:eastAsia="Times New Roman"/>
                <w:szCs w:val="24"/>
                <w:lang w:eastAsia="en-ID"/>
              </w:rPr>
              <w:t>LE</w:t>
            </w:r>
            <w:r w:rsidRPr="00456A37">
              <w:rPr>
                <w:rFonts w:eastAsia="Times New Roman"/>
                <w:szCs w:val="24"/>
                <w:lang w:eastAsia="en-ID"/>
              </w:rPr>
              <w:t>)</w:t>
            </w:r>
            <w:r w:rsidR="0035474D">
              <w:rPr>
                <w:rFonts w:eastAsia="Times New Roman"/>
                <w:szCs w:val="24"/>
                <w:lang w:eastAsia="en-ID"/>
              </w:rPr>
              <w:t xml:space="preserve"> </w:t>
            </w:r>
            <w:r w:rsidRPr="00456A37">
              <w:rPr>
                <w:rFonts w:eastAsia="Times New Roman"/>
                <w:szCs w:val="24"/>
                <w:lang w:eastAsia="en-ID"/>
              </w:rPr>
              <w:t>/X1</w:t>
            </w:r>
          </w:p>
        </w:tc>
        <w:tc>
          <w:tcPr>
            <w:tcW w:w="1564" w:type="dxa"/>
            <w:tcBorders>
              <w:left w:val="nil"/>
              <w:right w:val="nil"/>
            </w:tcBorders>
            <w:vAlign w:val="center"/>
          </w:tcPr>
          <w:p w14:paraId="1CE1BB8F"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17,81708</w:t>
            </w:r>
          </w:p>
        </w:tc>
        <w:tc>
          <w:tcPr>
            <w:tcW w:w="1134" w:type="dxa"/>
            <w:tcBorders>
              <w:left w:val="nil"/>
              <w:right w:val="nil"/>
            </w:tcBorders>
            <w:vAlign w:val="center"/>
          </w:tcPr>
          <w:p w14:paraId="1AE51839" w14:textId="77777777" w:rsidR="00456A37" w:rsidRPr="00456A37" w:rsidRDefault="00456A37" w:rsidP="00456A37">
            <w:pPr>
              <w:jc w:val="center"/>
              <w:rPr>
                <w:rFonts w:eastAsia="Times New Roman"/>
                <w:szCs w:val="24"/>
                <w:lang w:eastAsia="en-ID"/>
              </w:rPr>
            </w:pPr>
            <w:r w:rsidRPr="00456A37">
              <w:rPr>
                <w:szCs w:val="24"/>
              </w:rPr>
              <w:t>1,98063</w:t>
            </w:r>
          </w:p>
        </w:tc>
        <w:tc>
          <w:tcPr>
            <w:tcW w:w="1417" w:type="dxa"/>
            <w:tcBorders>
              <w:left w:val="nil"/>
              <w:right w:val="nil"/>
            </w:tcBorders>
            <w:vAlign w:val="center"/>
          </w:tcPr>
          <w:p w14:paraId="61DEF834"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0,000</w:t>
            </w:r>
          </w:p>
        </w:tc>
        <w:tc>
          <w:tcPr>
            <w:tcW w:w="1417" w:type="dxa"/>
            <w:tcBorders>
              <w:left w:val="nil"/>
              <w:right w:val="nil"/>
            </w:tcBorders>
            <w:vAlign w:val="center"/>
          </w:tcPr>
          <w:p w14:paraId="41E4D741" w14:textId="14213588" w:rsidR="00456A37" w:rsidRPr="00456A37" w:rsidRDefault="00DE4F9A" w:rsidP="00456A37">
            <w:pPr>
              <w:jc w:val="center"/>
              <w:rPr>
                <w:rFonts w:eastAsia="Times New Roman"/>
                <w:szCs w:val="24"/>
                <w:lang w:eastAsia="en-ID"/>
              </w:rPr>
            </w:pPr>
            <w:r>
              <w:rPr>
                <w:rFonts w:eastAsia="Times New Roman"/>
                <w:szCs w:val="24"/>
                <w:lang w:eastAsia="en-ID"/>
              </w:rPr>
              <w:t>Significant</w:t>
            </w:r>
          </w:p>
        </w:tc>
      </w:tr>
      <w:tr w:rsidR="00456A37" w:rsidRPr="00BE7002" w14:paraId="68A2AAC5" w14:textId="77777777" w:rsidTr="0035474D">
        <w:trPr>
          <w:jc w:val="center"/>
        </w:trPr>
        <w:tc>
          <w:tcPr>
            <w:tcW w:w="3201" w:type="dxa"/>
            <w:tcBorders>
              <w:left w:val="nil"/>
              <w:right w:val="nil"/>
            </w:tcBorders>
            <w:vAlign w:val="bottom"/>
          </w:tcPr>
          <w:p w14:paraId="65A637FE" w14:textId="77777777" w:rsidR="00456A37" w:rsidRPr="00456A37" w:rsidRDefault="0035474D" w:rsidP="00456A37">
            <w:pPr>
              <w:jc w:val="both"/>
              <w:rPr>
                <w:rFonts w:eastAsia="Times New Roman"/>
                <w:szCs w:val="24"/>
                <w:lang w:eastAsia="en-ID"/>
              </w:rPr>
            </w:pPr>
            <w:r>
              <w:t>Long-term School E</w:t>
            </w:r>
            <w:r w:rsidRPr="00456A37">
              <w:t xml:space="preserve">xpectations </w:t>
            </w:r>
            <w:r>
              <w:rPr>
                <w:rFonts w:eastAsia="Times New Roman"/>
                <w:szCs w:val="24"/>
                <w:lang w:eastAsia="en-ID"/>
              </w:rPr>
              <w:t>(LSE</w:t>
            </w:r>
            <w:r w:rsidR="00456A37" w:rsidRPr="00456A37">
              <w:rPr>
                <w:rFonts w:eastAsia="Times New Roman"/>
                <w:szCs w:val="24"/>
                <w:lang w:eastAsia="en-ID"/>
              </w:rPr>
              <w:t>)</w:t>
            </w:r>
            <w:r>
              <w:rPr>
                <w:rFonts w:eastAsia="Times New Roman"/>
                <w:szCs w:val="24"/>
                <w:lang w:eastAsia="en-ID"/>
              </w:rPr>
              <w:t xml:space="preserve"> </w:t>
            </w:r>
            <w:r w:rsidR="00456A37" w:rsidRPr="00456A37">
              <w:rPr>
                <w:rFonts w:eastAsia="Times New Roman"/>
                <w:szCs w:val="24"/>
                <w:lang w:eastAsia="en-ID"/>
              </w:rPr>
              <w:t>/X2</w:t>
            </w:r>
          </w:p>
        </w:tc>
        <w:tc>
          <w:tcPr>
            <w:tcW w:w="1564" w:type="dxa"/>
            <w:tcBorders>
              <w:left w:val="nil"/>
              <w:right w:val="nil"/>
            </w:tcBorders>
            <w:vAlign w:val="center"/>
          </w:tcPr>
          <w:p w14:paraId="34BEEB09"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28,52948</w:t>
            </w:r>
          </w:p>
        </w:tc>
        <w:tc>
          <w:tcPr>
            <w:tcW w:w="1134" w:type="dxa"/>
            <w:tcBorders>
              <w:left w:val="nil"/>
              <w:right w:val="nil"/>
            </w:tcBorders>
            <w:vAlign w:val="center"/>
          </w:tcPr>
          <w:p w14:paraId="1B4B87FF"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1,98063</w:t>
            </w:r>
          </w:p>
        </w:tc>
        <w:tc>
          <w:tcPr>
            <w:tcW w:w="1417" w:type="dxa"/>
            <w:tcBorders>
              <w:left w:val="nil"/>
              <w:right w:val="nil"/>
            </w:tcBorders>
            <w:vAlign w:val="center"/>
          </w:tcPr>
          <w:p w14:paraId="3BACFF4E"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0,000</w:t>
            </w:r>
          </w:p>
        </w:tc>
        <w:tc>
          <w:tcPr>
            <w:tcW w:w="1417" w:type="dxa"/>
            <w:tcBorders>
              <w:left w:val="nil"/>
              <w:right w:val="nil"/>
            </w:tcBorders>
            <w:vAlign w:val="center"/>
          </w:tcPr>
          <w:p w14:paraId="76CB199E" w14:textId="46F89DD2" w:rsidR="00456A37" w:rsidRPr="00456A37" w:rsidRDefault="00DE4F9A" w:rsidP="00456A37">
            <w:pPr>
              <w:jc w:val="center"/>
              <w:rPr>
                <w:rFonts w:eastAsia="Times New Roman"/>
                <w:szCs w:val="24"/>
                <w:lang w:eastAsia="en-ID"/>
              </w:rPr>
            </w:pPr>
            <w:r>
              <w:rPr>
                <w:rFonts w:eastAsia="Times New Roman"/>
                <w:szCs w:val="24"/>
                <w:lang w:eastAsia="en-ID"/>
              </w:rPr>
              <w:t>Significant</w:t>
            </w:r>
          </w:p>
        </w:tc>
      </w:tr>
      <w:tr w:rsidR="00456A37" w:rsidRPr="00BE7002" w14:paraId="587C7AD0" w14:textId="77777777" w:rsidTr="0035474D">
        <w:trPr>
          <w:jc w:val="center"/>
        </w:trPr>
        <w:tc>
          <w:tcPr>
            <w:tcW w:w="3201" w:type="dxa"/>
            <w:tcBorders>
              <w:left w:val="nil"/>
              <w:right w:val="nil"/>
            </w:tcBorders>
            <w:vAlign w:val="bottom"/>
          </w:tcPr>
          <w:p w14:paraId="437E48D1" w14:textId="77777777" w:rsidR="00456A37" w:rsidRPr="00456A37" w:rsidRDefault="0035474D" w:rsidP="00456A37">
            <w:pPr>
              <w:jc w:val="both"/>
              <w:rPr>
                <w:rFonts w:eastAsia="Times New Roman"/>
                <w:szCs w:val="24"/>
                <w:lang w:eastAsia="en-ID"/>
              </w:rPr>
            </w:pPr>
            <w:r>
              <w:t xml:space="preserve">Average Length of Schooling </w:t>
            </w:r>
            <w:r>
              <w:rPr>
                <w:rFonts w:eastAsia="Times New Roman"/>
                <w:szCs w:val="24"/>
                <w:lang w:eastAsia="en-ID"/>
              </w:rPr>
              <w:t>(A</w:t>
            </w:r>
            <w:r w:rsidR="00456A37" w:rsidRPr="00456A37">
              <w:rPr>
                <w:rFonts w:eastAsia="Times New Roman"/>
                <w:szCs w:val="24"/>
                <w:lang w:eastAsia="en-ID"/>
              </w:rPr>
              <w:t>LS)</w:t>
            </w:r>
            <w:r>
              <w:rPr>
                <w:rFonts w:eastAsia="Times New Roman"/>
                <w:szCs w:val="24"/>
                <w:lang w:eastAsia="en-ID"/>
              </w:rPr>
              <w:t xml:space="preserve"> </w:t>
            </w:r>
            <w:r w:rsidR="00456A37" w:rsidRPr="00456A37">
              <w:rPr>
                <w:rFonts w:eastAsia="Times New Roman"/>
                <w:szCs w:val="24"/>
                <w:lang w:eastAsia="en-ID"/>
              </w:rPr>
              <w:t>/X3</w:t>
            </w:r>
          </w:p>
        </w:tc>
        <w:tc>
          <w:tcPr>
            <w:tcW w:w="1564" w:type="dxa"/>
            <w:tcBorders>
              <w:left w:val="nil"/>
              <w:right w:val="nil"/>
            </w:tcBorders>
            <w:vAlign w:val="center"/>
          </w:tcPr>
          <w:p w14:paraId="5EBC606D"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23,85744</w:t>
            </w:r>
          </w:p>
        </w:tc>
        <w:tc>
          <w:tcPr>
            <w:tcW w:w="1134" w:type="dxa"/>
            <w:tcBorders>
              <w:left w:val="nil"/>
              <w:right w:val="nil"/>
            </w:tcBorders>
            <w:vAlign w:val="center"/>
          </w:tcPr>
          <w:p w14:paraId="7BCC2204"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1,98063</w:t>
            </w:r>
          </w:p>
        </w:tc>
        <w:tc>
          <w:tcPr>
            <w:tcW w:w="1417" w:type="dxa"/>
            <w:tcBorders>
              <w:left w:val="nil"/>
              <w:right w:val="nil"/>
            </w:tcBorders>
            <w:vAlign w:val="center"/>
          </w:tcPr>
          <w:p w14:paraId="6141ED49"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0,000</w:t>
            </w:r>
          </w:p>
        </w:tc>
        <w:tc>
          <w:tcPr>
            <w:tcW w:w="1417" w:type="dxa"/>
            <w:tcBorders>
              <w:left w:val="nil"/>
              <w:right w:val="nil"/>
            </w:tcBorders>
            <w:vAlign w:val="center"/>
          </w:tcPr>
          <w:p w14:paraId="3938F0D9" w14:textId="7642F4DB" w:rsidR="00456A37" w:rsidRPr="00456A37" w:rsidRDefault="00DE4F9A" w:rsidP="00456A37">
            <w:pPr>
              <w:jc w:val="center"/>
              <w:rPr>
                <w:rFonts w:eastAsia="Times New Roman"/>
                <w:szCs w:val="24"/>
                <w:lang w:eastAsia="en-ID"/>
              </w:rPr>
            </w:pPr>
            <w:r>
              <w:rPr>
                <w:rFonts w:eastAsia="Times New Roman"/>
                <w:szCs w:val="24"/>
                <w:lang w:eastAsia="en-ID"/>
              </w:rPr>
              <w:t>Significant</w:t>
            </w:r>
          </w:p>
        </w:tc>
      </w:tr>
      <w:tr w:rsidR="00456A37" w:rsidRPr="00BE7002" w14:paraId="39103801" w14:textId="77777777" w:rsidTr="0035474D">
        <w:trPr>
          <w:jc w:val="center"/>
        </w:trPr>
        <w:tc>
          <w:tcPr>
            <w:tcW w:w="3201" w:type="dxa"/>
            <w:tcBorders>
              <w:left w:val="nil"/>
              <w:right w:val="nil"/>
            </w:tcBorders>
            <w:vAlign w:val="bottom"/>
          </w:tcPr>
          <w:p w14:paraId="3A80706E" w14:textId="77777777" w:rsidR="00456A37" w:rsidRPr="00456A37" w:rsidRDefault="0035474D" w:rsidP="00456A37">
            <w:pPr>
              <w:jc w:val="both"/>
              <w:rPr>
                <w:rFonts w:eastAsia="Times New Roman"/>
                <w:szCs w:val="24"/>
                <w:lang w:eastAsia="en-ID"/>
              </w:rPr>
            </w:pPr>
            <w:r w:rsidRPr="0035474D">
              <w:rPr>
                <w:rFonts w:eastAsia="Times New Roman"/>
                <w:szCs w:val="24"/>
                <w:lang w:eastAsia="en-ID"/>
              </w:rPr>
              <w:t xml:space="preserve">Expenditure Per Capita </w:t>
            </w:r>
            <w:proofErr w:type="gramStart"/>
            <w:r w:rsidRPr="0035474D">
              <w:rPr>
                <w:rFonts w:eastAsia="Times New Roman"/>
                <w:szCs w:val="24"/>
                <w:lang w:eastAsia="en-ID"/>
              </w:rPr>
              <w:t xml:space="preserve">adjusted </w:t>
            </w:r>
            <w:r>
              <w:rPr>
                <w:rFonts w:eastAsia="Times New Roman"/>
                <w:szCs w:val="24"/>
                <w:lang w:eastAsia="en-ID"/>
              </w:rPr>
              <w:t xml:space="preserve"> </w:t>
            </w:r>
            <w:r w:rsidR="00456A37" w:rsidRPr="00456A37">
              <w:rPr>
                <w:rFonts w:eastAsia="Times New Roman"/>
                <w:szCs w:val="24"/>
                <w:lang w:eastAsia="en-ID"/>
              </w:rPr>
              <w:t>/</w:t>
            </w:r>
            <w:proofErr w:type="gramEnd"/>
            <w:r w:rsidR="00456A37" w:rsidRPr="00456A37">
              <w:rPr>
                <w:rFonts w:eastAsia="Times New Roman"/>
                <w:szCs w:val="24"/>
                <w:lang w:eastAsia="en-ID"/>
              </w:rPr>
              <w:t>X4</w:t>
            </w:r>
          </w:p>
        </w:tc>
        <w:tc>
          <w:tcPr>
            <w:tcW w:w="1564" w:type="dxa"/>
            <w:tcBorders>
              <w:left w:val="nil"/>
              <w:right w:val="nil"/>
            </w:tcBorders>
            <w:vAlign w:val="center"/>
          </w:tcPr>
          <w:p w14:paraId="6C65F0E5"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40,65257</w:t>
            </w:r>
          </w:p>
        </w:tc>
        <w:tc>
          <w:tcPr>
            <w:tcW w:w="1134" w:type="dxa"/>
            <w:tcBorders>
              <w:left w:val="nil"/>
              <w:right w:val="nil"/>
            </w:tcBorders>
            <w:vAlign w:val="center"/>
          </w:tcPr>
          <w:p w14:paraId="1DD75F3B"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1,98063</w:t>
            </w:r>
          </w:p>
        </w:tc>
        <w:tc>
          <w:tcPr>
            <w:tcW w:w="1417" w:type="dxa"/>
            <w:tcBorders>
              <w:left w:val="nil"/>
              <w:right w:val="nil"/>
            </w:tcBorders>
            <w:vAlign w:val="center"/>
          </w:tcPr>
          <w:p w14:paraId="6A6D0C69" w14:textId="77777777" w:rsidR="00456A37" w:rsidRPr="00456A37" w:rsidRDefault="00456A37" w:rsidP="00456A37">
            <w:pPr>
              <w:jc w:val="center"/>
              <w:rPr>
                <w:rFonts w:eastAsia="Times New Roman"/>
                <w:szCs w:val="24"/>
                <w:lang w:eastAsia="en-ID"/>
              </w:rPr>
            </w:pPr>
            <w:r w:rsidRPr="00456A37">
              <w:rPr>
                <w:rFonts w:eastAsia="Times New Roman"/>
                <w:szCs w:val="24"/>
                <w:lang w:eastAsia="en-ID"/>
              </w:rPr>
              <w:t>0,000</w:t>
            </w:r>
          </w:p>
        </w:tc>
        <w:tc>
          <w:tcPr>
            <w:tcW w:w="1417" w:type="dxa"/>
            <w:tcBorders>
              <w:left w:val="nil"/>
              <w:right w:val="nil"/>
            </w:tcBorders>
            <w:vAlign w:val="center"/>
          </w:tcPr>
          <w:p w14:paraId="7481F7E6" w14:textId="1B7977CD" w:rsidR="00456A37" w:rsidRPr="00456A37" w:rsidRDefault="00DE4F9A" w:rsidP="00456A37">
            <w:pPr>
              <w:jc w:val="center"/>
              <w:rPr>
                <w:rFonts w:eastAsia="Times New Roman"/>
                <w:szCs w:val="24"/>
                <w:lang w:eastAsia="en-ID"/>
              </w:rPr>
            </w:pPr>
            <w:r>
              <w:rPr>
                <w:rFonts w:eastAsia="Times New Roman"/>
                <w:szCs w:val="24"/>
                <w:lang w:eastAsia="en-ID"/>
              </w:rPr>
              <w:t>Significant</w:t>
            </w:r>
          </w:p>
        </w:tc>
      </w:tr>
    </w:tbl>
    <w:p w14:paraId="3E41452C" w14:textId="77777777" w:rsidR="0035474D" w:rsidRDefault="0035474D" w:rsidP="0035474D">
      <w:pPr>
        <w:spacing w:after="0" w:line="240" w:lineRule="auto"/>
        <w:outlineLvl w:val="0"/>
        <w:rPr>
          <w:sz w:val="20"/>
          <w:szCs w:val="20"/>
        </w:rPr>
      </w:pPr>
      <w:r w:rsidRPr="00850043">
        <w:rPr>
          <w:b/>
          <w:sz w:val="20"/>
          <w:szCs w:val="20"/>
        </w:rPr>
        <w:t>Source</w:t>
      </w:r>
      <w:r w:rsidRPr="0061125E">
        <w:rPr>
          <w:sz w:val="20"/>
          <w:szCs w:val="20"/>
        </w:rPr>
        <w:t xml:space="preserve">: </w:t>
      </w:r>
      <w:r>
        <w:rPr>
          <w:sz w:val="20"/>
          <w:szCs w:val="20"/>
        </w:rPr>
        <w:t xml:space="preserve">Author’s Calculation from </w:t>
      </w:r>
      <w:r>
        <w:rPr>
          <w:sz w:val="20"/>
          <w:szCs w:val="20"/>
        </w:rPr>
        <w:fldChar w:fldCharType="begin" w:fldLock="1"/>
      </w:r>
      <w:r>
        <w:rPr>
          <w:sz w:val="20"/>
          <w:szCs w:val="20"/>
        </w:rPr>
        <w:instrText>ADDIN CSL_CITATION {"citationItems":[{"id":"ITEM-1","itemData":{"ISBN":"9786020963563","author":[{"dropping-particle":"","family":"BPS Provinsi Jambi","given":"","non-dropping-particle":"","parse-names":false,"suffix":""}],"id":"ITEM-1","issued":{"date-parts":[["2020"]]},"number-of-pages":"1-73","publisher":"Badan Pusat Statistik Provinsi Jambi","publisher-place":"Jambi","title":"Indeks pembangunan manusia provinsi Jambi 2020","type":"book"},"uris":["http://www.mendeley.com/documents/?uuid=3722da33-db57-4ce6-b3f1-e79457cd2f33"]}],"mendeley":{"formattedCitation":"(BPS Provinsi Jambi, 2020a)","manualFormatting":"BPS Provinsi Jambi, 2020a","plainTextFormattedCitation":"(BPS Provinsi Jambi, 2020a)","previouslyFormattedCitation":"(BPS Provinsi Jambi, 2020a)"},"properties":{"noteIndex":0},"schema":"https://github.com/citation-style-language/schema/raw/master/csl-citation.json"}</w:instrText>
      </w:r>
      <w:r>
        <w:rPr>
          <w:sz w:val="20"/>
          <w:szCs w:val="20"/>
        </w:rPr>
        <w:fldChar w:fldCharType="separate"/>
      </w:r>
      <w:r w:rsidRPr="00CF5E62">
        <w:rPr>
          <w:noProof/>
          <w:sz w:val="20"/>
          <w:szCs w:val="20"/>
        </w:rPr>
        <w:t>BPS Provinsi Jambi, 2020a</w:t>
      </w:r>
      <w:r>
        <w:rPr>
          <w:sz w:val="20"/>
          <w:szCs w:val="20"/>
        </w:rPr>
        <w:fldChar w:fldCharType="end"/>
      </w:r>
      <w:r>
        <w:rPr>
          <w:sz w:val="20"/>
          <w:szCs w:val="20"/>
        </w:rPr>
        <w:t xml:space="preserve"> </w:t>
      </w:r>
      <w:r w:rsidRPr="00456A37">
        <w:rPr>
          <w:sz w:val="20"/>
          <w:szCs w:val="20"/>
        </w:rPr>
        <w:t>processed</w:t>
      </w:r>
    </w:p>
    <w:p w14:paraId="5E302179" w14:textId="35F6D1C1" w:rsidR="00456A37" w:rsidRPr="00BF61EF" w:rsidRDefault="00045F3F" w:rsidP="00BF61EF">
      <w:pPr>
        <w:spacing w:before="120" w:after="120" w:line="240" w:lineRule="auto"/>
        <w:ind w:firstLine="426"/>
        <w:jc w:val="both"/>
      </w:pPr>
      <w:r w:rsidRPr="00045F3F">
        <w:t xml:space="preserve">The model has a significance level </w:t>
      </w:r>
      <w:r>
        <w:t>α</w:t>
      </w:r>
      <w:r w:rsidRPr="00045F3F">
        <w:t xml:space="preserve"> = 5 percent and df = 116. The results obtained for each HDI indicator (independent variable) t-count&gt;t-table with a probability value of 0.00 &lt;0.05 so that it accepts Ha</w:t>
      </w:r>
      <w:r w:rsidRPr="00045F3F">
        <w:rPr>
          <w:vertAlign w:val="subscript"/>
        </w:rPr>
        <w:t>1</w:t>
      </w:r>
      <w:r w:rsidRPr="00045F3F">
        <w:t xml:space="preserve"> and rejects Ho. This means that there is a significant effect of each independent variable in the fields of health, education, and the economy towards increasing the Human Development Index (HDI) in Jambi Province for the 2010-2020 period. Meanwhile, in the F Random Effect Model test with a significance level </w:t>
      </w:r>
      <w:r>
        <w:t>α</w:t>
      </w:r>
      <w:r w:rsidRPr="00045F3F">
        <w:t xml:space="preserve"> = 5 percent and df</w:t>
      </w:r>
      <w:r w:rsidRPr="00045F3F">
        <w:rPr>
          <w:vertAlign w:val="subscript"/>
        </w:rPr>
        <w:t>1</w:t>
      </w:r>
      <w:r w:rsidRPr="00045F3F">
        <w:t xml:space="preserve"> = 4 df</w:t>
      </w:r>
      <w:r w:rsidRPr="00045F3F">
        <w:rPr>
          <w:vertAlign w:val="subscript"/>
        </w:rPr>
        <w:t>2</w:t>
      </w:r>
      <w:r w:rsidRPr="00045F3F">
        <w:t xml:space="preserve"> = 116, the F</w:t>
      </w:r>
      <w:r>
        <w:t>-</w:t>
      </w:r>
      <w:r w:rsidRPr="00045F3F">
        <w:t>count value is 7906,078 and the probability value is 0.00000. The value of F</w:t>
      </w:r>
      <w:r>
        <w:t>-</w:t>
      </w:r>
      <w:r w:rsidRPr="00045F3F">
        <w:t>count &gt; F</w:t>
      </w:r>
      <w:r>
        <w:t>-</w:t>
      </w:r>
      <w:r w:rsidRPr="00045F3F">
        <w:t>table (7906,078 &gt; 0.227) Prob</w:t>
      </w:r>
      <w:r>
        <w:t xml:space="preserve"> </w:t>
      </w:r>
      <w:r w:rsidRPr="00045F3F">
        <w:t xml:space="preserve">(F-statistic) is 0.00 &lt; 0.05, so the variables </w:t>
      </w:r>
      <w:r>
        <w:t xml:space="preserve">LE/X1, </w:t>
      </w:r>
      <w:r w:rsidRPr="00045F3F">
        <w:t>LS</w:t>
      </w:r>
      <w:r>
        <w:t>E/X2, A</w:t>
      </w:r>
      <w:r w:rsidRPr="00045F3F">
        <w:t xml:space="preserve">LS/X3, and per capita expenditure/X4 together </w:t>
      </w:r>
      <w:proofErr w:type="gramStart"/>
      <w:r w:rsidRPr="00045F3F">
        <w:t>( simultaneous</w:t>
      </w:r>
      <w:proofErr w:type="gramEnd"/>
      <w:r w:rsidRPr="00045F3F">
        <w:t>) affect HDI/Y in Jambi province for the period 2010-2020.</w:t>
      </w:r>
    </w:p>
    <w:p w14:paraId="7781011C" w14:textId="77777777" w:rsidR="0057447A" w:rsidRDefault="00045F3F" w:rsidP="0057447A">
      <w:pPr>
        <w:spacing w:after="0" w:line="240" w:lineRule="auto"/>
        <w:jc w:val="both"/>
      </w:pPr>
      <w:r w:rsidRPr="00045F3F">
        <w:t>4.2</w:t>
      </w:r>
      <w:r>
        <w:t xml:space="preserve"> </w:t>
      </w:r>
      <w:r w:rsidR="0057447A">
        <w:t>The Effect of Life Expectancy (LE), Average Length of School (A</w:t>
      </w:r>
      <w:r w:rsidR="0057447A" w:rsidRPr="0057447A">
        <w:t xml:space="preserve">LS), </w:t>
      </w:r>
      <w:r w:rsidR="0057447A">
        <w:t>Long-Term School</w:t>
      </w:r>
    </w:p>
    <w:p w14:paraId="2B148D6D" w14:textId="77777777" w:rsidR="00045F3F" w:rsidRDefault="0057447A" w:rsidP="0057447A">
      <w:pPr>
        <w:spacing w:after="0" w:line="240" w:lineRule="auto"/>
        <w:jc w:val="both"/>
      </w:pPr>
      <w:r>
        <w:t xml:space="preserve">        </w:t>
      </w:r>
      <w:r w:rsidRPr="00456A37">
        <w:t xml:space="preserve">Expectations </w:t>
      </w:r>
      <w:r>
        <w:t>(</w:t>
      </w:r>
      <w:r w:rsidRPr="0057447A">
        <w:t>LS</w:t>
      </w:r>
      <w:r>
        <w:t>E</w:t>
      </w:r>
      <w:r w:rsidRPr="0057447A">
        <w:t>) and Per Capita Expenditure</w:t>
      </w:r>
      <w:r>
        <w:t xml:space="preserve"> on Human Development Index (HDI</w:t>
      </w:r>
      <w:r w:rsidRPr="0057447A">
        <w:t>)</w:t>
      </w:r>
    </w:p>
    <w:p w14:paraId="4E826AFC" w14:textId="77777777" w:rsidR="00B467A5" w:rsidRDefault="00B467A5" w:rsidP="00B467A5">
      <w:pPr>
        <w:spacing w:after="0" w:line="240" w:lineRule="auto"/>
        <w:jc w:val="both"/>
      </w:pPr>
    </w:p>
    <w:p w14:paraId="7C4F1DF5" w14:textId="77777777" w:rsidR="00B467A5" w:rsidRDefault="00B467A5" w:rsidP="00B467A5">
      <w:pPr>
        <w:spacing w:after="0" w:line="240" w:lineRule="auto"/>
        <w:ind w:firstLine="426"/>
        <w:jc w:val="both"/>
      </w:pPr>
      <w:r>
        <w:t xml:space="preserve">Factors in the health sector with life expectancy indicators (LE) have a positive and significant effect on the human development index (HDI) in Jambi province for the period 2010-2020. will increase by 0.456465 percent and every 1 percent decrease in the LE index causes the HDI in Jambi province to decrease by 0.456465 percent. This research is in accordance with the concept of health where health is a self-investment with long-lasting benefits. Health is able to stimulate healthy time output that supports productivity. Long health manifested by increasing age will affect the total amount to generate income so as to provide added value to the development of human development </w:t>
      </w:r>
      <w:r>
        <w:rPr>
          <w:rFonts w:cstheme="majorBidi"/>
          <w:bCs/>
          <w:szCs w:val="24"/>
        </w:rPr>
        <w:fldChar w:fldCharType="begin" w:fldLock="1"/>
      </w:r>
      <w:r>
        <w:rPr>
          <w:rFonts w:cstheme="majorBidi"/>
          <w:bCs/>
          <w:szCs w:val="24"/>
        </w:rPr>
        <w:instrText>ADDIN CSL_CITATION {"citationItems":[{"id":"ITEM-1","itemData":{"author":[{"dropping-particle":"","family":"Susilawati","given":"Dwi","non-dropping-particle":"","parse-names":false,"suffix":""}],"id":"ITEM-1","issued":{"date-parts":[["2016"]]},"number-of-pages":"1-201","publisher":"Pusdik SDM Kesehatan","publisher-place":"Jakarta","title":"Promosi Kesehatan (Modul Bahan Ajar Cetak Keerawatan)","type":"book"},"uris":["http://www.mendeley.com/documents/?uuid=f30bf6aa-f9c8-4de1-8941-1ecf4cac519c"]}],"mendeley":{"formattedCitation":"(Susilawati, 2016)","plainTextFormattedCitation":"(Susilawati, 2016)","previouslyFormattedCitation":"(Susilawati, 2016)"},"properties":{"noteIndex":0},"schema":"https://github.com/citation-style-language/schema/raw/master/csl-citation.json"}</w:instrText>
      </w:r>
      <w:r>
        <w:rPr>
          <w:rFonts w:cstheme="majorBidi"/>
          <w:bCs/>
          <w:szCs w:val="24"/>
        </w:rPr>
        <w:fldChar w:fldCharType="separate"/>
      </w:r>
      <w:r w:rsidRPr="001A683B">
        <w:rPr>
          <w:rFonts w:cstheme="majorBidi"/>
          <w:bCs/>
          <w:noProof/>
          <w:szCs w:val="24"/>
        </w:rPr>
        <w:t>(Susilawati, 2016)</w:t>
      </w:r>
      <w:r>
        <w:rPr>
          <w:rFonts w:cstheme="majorBidi"/>
          <w:bCs/>
          <w:szCs w:val="24"/>
        </w:rPr>
        <w:fldChar w:fldCharType="end"/>
      </w:r>
      <w:r>
        <w:rPr>
          <w:rFonts w:cstheme="majorBidi"/>
          <w:bCs/>
          <w:szCs w:val="24"/>
        </w:rPr>
        <w:t>.</w:t>
      </w:r>
    </w:p>
    <w:p w14:paraId="023D4D19" w14:textId="77777777" w:rsidR="00B467A5" w:rsidRDefault="00B467A5" w:rsidP="00B467A5">
      <w:pPr>
        <w:spacing w:after="0" w:line="240" w:lineRule="auto"/>
        <w:ind w:firstLine="426"/>
        <w:jc w:val="both"/>
      </w:pPr>
      <w:r>
        <w:t xml:space="preserve">The results of this study are supported by research by </w:t>
      </w:r>
      <w:r w:rsidRPr="00090FAD">
        <w:rPr>
          <w:rFonts w:cstheme="majorBidi"/>
          <w:bCs/>
          <w:szCs w:val="24"/>
        </w:rPr>
        <w:fldChar w:fldCharType="begin" w:fldLock="1"/>
      </w:r>
      <w:r>
        <w:rPr>
          <w:rFonts w:cstheme="majorBidi"/>
          <w:bCs/>
          <w:szCs w:val="24"/>
        </w:rPr>
        <w:instrText>ADDIN CSL_CITATION {"citationItems":[{"id":"ITEM-1","itemData":{"DOI":"10.1016/s2212-5671(15)00692-9","ISSN":"22125671","abstract":"In the article, a theory of human development based on reports (Research) of United Nations Development Program is described. Model of human development, which was obtained by means of correlation analysis of a number of quantitative indicators of human development across countries, is considered. The main components of the model are the human development index, the index of innovation, ICT index, Gross national income and life expectancy indexes.","author":[{"dropping-particle":"","family":"Yakunina","given":"R.P.","non-dropping-particle":"","parse-names":false,"suffix":""},{"dropping-particle":"","family":"Bychkov","given":"G.A.","non-dropping-particle":"","parse-names":false,"suffix":""}],"container-title":"Procedia Economics and Finance","id":"ITEM-1","issue":"July","issued":{"date-parts":[["2015"]]},"page":"766-771","publisher":"Elsevier B.V.","title":"Correlation Analysis of the Components of the Human Development Index Across Countries","type":"paper-conference","volume":"24"},"uris":["http://www.mendeley.com/documents/?uuid=190f338b-44b6-45c0-a2cb-a6802375288f"]}],"mendeley":{"formattedCitation":"(Yakunina &amp; Bychkov, 2015)","manualFormatting":"Yakunina &amp; Bychkov, 2015","plainTextFormattedCitation":"(Yakunina &amp; Bychkov, 2015)","previouslyFormattedCitation":"(Yakunina &amp; Bychkov, 2015)"},"properties":{"noteIndex":0},"schema":"https://github.com/citation-style-language/schema/raw/master/csl-citation.json"}</w:instrText>
      </w:r>
      <w:r w:rsidRPr="00090FAD">
        <w:rPr>
          <w:rFonts w:cstheme="majorBidi"/>
          <w:bCs/>
          <w:szCs w:val="24"/>
        </w:rPr>
        <w:fldChar w:fldCharType="separate"/>
      </w:r>
      <w:r w:rsidRPr="00090FAD">
        <w:rPr>
          <w:rFonts w:cstheme="majorBidi"/>
          <w:bCs/>
          <w:noProof/>
          <w:szCs w:val="24"/>
        </w:rPr>
        <w:t>Yakunina &amp; Bychkov, 2015</w:t>
      </w:r>
      <w:r w:rsidRPr="00090FAD">
        <w:rPr>
          <w:rFonts w:cstheme="majorBidi"/>
          <w:bCs/>
          <w:szCs w:val="24"/>
        </w:rPr>
        <w:fldChar w:fldCharType="end"/>
      </w:r>
      <w:r>
        <w:t xml:space="preserve"> </w:t>
      </w:r>
      <w:r w:rsidR="009C0A63">
        <w:t xml:space="preserve">and </w:t>
      </w:r>
      <w:r w:rsidR="009C0A63">
        <w:rPr>
          <w:rFonts w:cstheme="majorBidi"/>
          <w:bCs/>
          <w:szCs w:val="24"/>
        </w:rPr>
        <w:fldChar w:fldCharType="begin" w:fldLock="1"/>
      </w:r>
      <w:r w:rsidR="009C0A63">
        <w:rPr>
          <w:rFonts w:cstheme="majorBidi"/>
          <w:bCs/>
          <w:szCs w:val="24"/>
        </w:rPr>
        <w:instrText>ADDIN CSL_CITATION {"citationItems":[{"id":"ITEM-1","itemData":{"DOI":"10.14445/23939125/ijems-v3i5p106","abstract":"The Human Development Index is a statistical tool used to measure countries overall achievements in its social and economic dimensions. This paper tried to find out major factors affecting Human Development Index like health index, education index and income index. The objective of this study is found out the empirical findings and trend of human development across countries, regression analysis of determinants factors and region wise analysis of human development index. Index","author":[{"dropping-particle":"","family":"Shah","given":"Smit","non-dropping-particle":"","parse-names":false,"suffix":""}],"container-title":"International Journal of Economics and Management Studies","id":"ITEM-1","issue":"5","issued":{"date-parts":[["2016"]]},"page":"40-43","title":"Determinants of Human Development Index: A Cross-Country Empirical Analysis","type":"article-journal","volume":"3"},"uris":["http://www.mendeley.com/documents/?uuid=1e81dd73-159c-42b5-a281-8423ca64b3b5"]}],"mendeley":{"formattedCitation":"(Shah, 2016)","manualFormatting":"Shah, 2016","plainTextFormattedCitation":"(Shah, 2016)","previouslyFormattedCitation":"(Shah, 2016)"},"properties":{"noteIndex":0},"schema":"https://github.com/citation-style-language/schema/raw/master/csl-citation.json"}</w:instrText>
      </w:r>
      <w:r w:rsidR="009C0A63">
        <w:rPr>
          <w:rFonts w:cstheme="majorBidi"/>
          <w:bCs/>
          <w:szCs w:val="24"/>
        </w:rPr>
        <w:fldChar w:fldCharType="separate"/>
      </w:r>
      <w:r w:rsidR="009C0A63" w:rsidRPr="00090FAD">
        <w:rPr>
          <w:rFonts w:cstheme="majorBidi"/>
          <w:bCs/>
          <w:noProof/>
          <w:szCs w:val="24"/>
        </w:rPr>
        <w:t>Shah, 2016</w:t>
      </w:r>
      <w:r w:rsidR="009C0A63">
        <w:rPr>
          <w:rFonts w:cstheme="majorBidi"/>
          <w:bCs/>
          <w:szCs w:val="24"/>
        </w:rPr>
        <w:fldChar w:fldCharType="end"/>
      </w:r>
      <w:r w:rsidR="009C0A63">
        <w:rPr>
          <w:rFonts w:cstheme="majorBidi"/>
          <w:bCs/>
          <w:szCs w:val="24"/>
        </w:rPr>
        <w:t xml:space="preserve"> </w:t>
      </w:r>
      <w:r>
        <w:t xml:space="preserve">on the correlation of components of the human development index across countries and the determinants of the human development index. Health is one of the building blocks of the concept of quality of life or human standard of living so that it becomes the main feature in human development. </w:t>
      </w:r>
      <w:r>
        <w:rPr>
          <w:rFonts w:cstheme="majorBidi"/>
          <w:bCs/>
          <w:szCs w:val="24"/>
        </w:rPr>
        <w:fldChar w:fldCharType="begin" w:fldLock="1"/>
      </w:r>
      <w:r>
        <w:rPr>
          <w:rFonts w:cstheme="majorBidi"/>
          <w:bCs/>
          <w:szCs w:val="24"/>
        </w:rPr>
        <w:instrText>ADDIN CSL_CITATION {"citationItems":[{"id":"ITEM-1","itemData":{"DOI":"10.15294/edaj.v8i1.28730","ISSN":"2252-6560","abstract":"The quality of human capital strongly determines the economic development of a country. Human capital can be shaped by the level of education and public health. This research analyzes the development and competition of human capital of Indonesia and other 5 ASEAN countries from 1985-2016. The problem of this study is whether human capital can be a significant determinant of economic welfare (per capita income) in ASEAN countries. The research used a regression analysis of panel data (all countries) and multiple linear regression (for each country). The independent variables are life expectancy, population growth rate, working-age population, and infant mortality rate per 1,000 live births. The results show that in general, all independent variables have a significant effect on GDP per capita. Nevertheless, an analysis in each country shows different levels and direction of influence. The quality of the human capital of Indonesia is still at the middle level among ASEAN countries. Therefore a variety of efforts to improve the quality of human capital needs to be done by the government and the people of Indonesia to win the competition between ASEAN countries.","author":[{"dropping-particle":"","family":"Wibowo","given":"Muhammad Ghafur","non-dropping-particle":"","parse-names":false,"suffix":""}],"container-title":"Economics Development Analysis Journal","id":"ITEM-1","issue":"1","issued":{"date-parts":[["2019"]]},"page":"81-93","title":"Human Capital Relation with Welfare in Indonesia and Asean Countries","type":"article-journal","volume":"8"},"uris":["http://www.mendeley.com/documents/?uuid=5b1aa590-7b97-4035-af2b-2c840d87b4bc"]}],"mendeley":{"formattedCitation":"(Wibowo, 2019)","manualFormatting":"Wibowo, 2019","plainTextFormattedCitation":"(Wibowo, 2019)","previouslyFormattedCitation":"(Wibowo, 2019)"},"properties":{"noteIndex":0},"schema":"https://github.com/citation-style-language/schema/raw/master/csl-citation.json"}</w:instrText>
      </w:r>
      <w:r>
        <w:rPr>
          <w:rFonts w:cstheme="majorBidi"/>
          <w:bCs/>
          <w:szCs w:val="24"/>
        </w:rPr>
        <w:fldChar w:fldCharType="separate"/>
      </w:r>
      <w:r w:rsidRPr="00090FAD">
        <w:rPr>
          <w:rFonts w:cstheme="majorBidi"/>
          <w:bCs/>
          <w:noProof/>
          <w:szCs w:val="24"/>
        </w:rPr>
        <w:t>Wibowo, 2019</w:t>
      </w:r>
      <w:r>
        <w:rPr>
          <w:rFonts w:cstheme="majorBidi"/>
          <w:bCs/>
          <w:szCs w:val="24"/>
        </w:rPr>
        <w:fldChar w:fldCharType="end"/>
      </w:r>
      <w:r>
        <w:rPr>
          <w:rFonts w:cstheme="majorBidi"/>
          <w:bCs/>
          <w:szCs w:val="24"/>
        </w:rPr>
        <w:t xml:space="preserve"> </w:t>
      </w:r>
      <w:r>
        <w:t>research on human capital also states that life expectancy is very influential in development. Countries with low life expectancy reflect low human development so that it affects the welfare of the people in it.</w:t>
      </w:r>
    </w:p>
    <w:p w14:paraId="04C36CC3" w14:textId="77777777" w:rsidR="007A4449" w:rsidRPr="007A4449" w:rsidRDefault="00B467A5" w:rsidP="007A4449">
      <w:pPr>
        <w:pStyle w:val="BodyText"/>
        <w:spacing w:before="7"/>
        <w:ind w:firstLine="426"/>
        <w:jc w:val="both"/>
        <w:rPr>
          <w:rFonts w:ascii="Calibri" w:hAnsi="Calibri" w:cs="Calibri"/>
          <w:sz w:val="22"/>
          <w:szCs w:val="22"/>
        </w:rPr>
      </w:pPr>
      <w:r>
        <w:t xml:space="preserve">The </w:t>
      </w:r>
      <w:r w:rsidR="007A4449" w:rsidRPr="007A4449">
        <w:rPr>
          <w:rFonts w:ascii="Calibri" w:hAnsi="Calibri" w:cs="Calibri"/>
          <w:sz w:val="22"/>
          <w:szCs w:val="22"/>
        </w:rPr>
        <w:t>Long-term School Expectancy (</w:t>
      </w:r>
      <w:r w:rsidRPr="007A4449">
        <w:rPr>
          <w:rFonts w:ascii="Calibri" w:hAnsi="Calibri" w:cs="Calibri"/>
          <w:sz w:val="22"/>
          <w:szCs w:val="22"/>
        </w:rPr>
        <w:t>LS</w:t>
      </w:r>
      <w:r w:rsidR="007A4449" w:rsidRPr="007A4449">
        <w:rPr>
          <w:rFonts w:ascii="Calibri" w:hAnsi="Calibri" w:cs="Calibri"/>
          <w:sz w:val="22"/>
          <w:szCs w:val="22"/>
        </w:rPr>
        <w:t>E</w:t>
      </w:r>
      <w:r w:rsidRPr="007A4449">
        <w:rPr>
          <w:rFonts w:ascii="Calibri" w:hAnsi="Calibri" w:cs="Calibri"/>
          <w:sz w:val="22"/>
          <w:szCs w:val="22"/>
        </w:rPr>
        <w:t>) indicator shows that the research conducted is in accordance with the initial hypothesis that</w:t>
      </w:r>
      <w:r w:rsidR="007A4449" w:rsidRPr="007A4449">
        <w:rPr>
          <w:rFonts w:ascii="Calibri" w:hAnsi="Calibri" w:cs="Calibri"/>
          <w:sz w:val="22"/>
          <w:szCs w:val="22"/>
        </w:rPr>
        <w:t xml:space="preserve"> in the field of education the </w:t>
      </w:r>
      <w:r w:rsidRPr="007A4449">
        <w:rPr>
          <w:rFonts w:ascii="Calibri" w:hAnsi="Calibri" w:cs="Calibri"/>
          <w:sz w:val="22"/>
          <w:szCs w:val="22"/>
        </w:rPr>
        <w:t>LS</w:t>
      </w:r>
      <w:r w:rsidR="007A4449" w:rsidRPr="007A4449">
        <w:rPr>
          <w:rFonts w:ascii="Calibri" w:hAnsi="Calibri" w:cs="Calibri"/>
          <w:sz w:val="22"/>
          <w:szCs w:val="22"/>
        </w:rPr>
        <w:t>E</w:t>
      </w:r>
      <w:r w:rsidRPr="007A4449">
        <w:rPr>
          <w:rFonts w:ascii="Calibri" w:hAnsi="Calibri" w:cs="Calibri"/>
          <w:sz w:val="22"/>
          <w:szCs w:val="22"/>
        </w:rPr>
        <w:t xml:space="preserve"> indicator has a positive and significant effect on the human development index (HDI) in Jambi province for the 2010-2020 period. The coefficient value of the HLS variable is 1.078882, which means that if the HLS index increases by 1 percent, the HDI level will increase by 1.078882 percent and every 1 percent decrease in the HLS index causes the HDI in Jambi province to decrease by 1.078882 </w:t>
      </w:r>
      <w:proofErr w:type="spellStart"/>
      <w:proofErr w:type="gramStart"/>
      <w:r w:rsidRPr="007A4449">
        <w:rPr>
          <w:rFonts w:ascii="Calibri" w:hAnsi="Calibri" w:cs="Calibri"/>
          <w:sz w:val="22"/>
          <w:szCs w:val="22"/>
        </w:rPr>
        <w:t>percent.The</w:t>
      </w:r>
      <w:proofErr w:type="spellEnd"/>
      <w:proofErr w:type="gramEnd"/>
      <w:r w:rsidRPr="007A4449">
        <w:rPr>
          <w:rFonts w:ascii="Calibri" w:hAnsi="Calibri" w:cs="Calibri"/>
          <w:sz w:val="22"/>
          <w:szCs w:val="22"/>
        </w:rPr>
        <w:t xml:space="preserve"> results of the study are in line with the foundation of education as a means of human formation to open up ideologies and ideas in order to strengthen the resilience structure for both individuals and society. The expectations of the old school become an opportunity for individuals to improve their quality to be able to expand better life choices so that they can co</w:t>
      </w:r>
      <w:r w:rsidR="007A4449" w:rsidRPr="007A4449">
        <w:rPr>
          <w:rFonts w:ascii="Calibri" w:hAnsi="Calibri" w:cs="Calibri"/>
          <w:sz w:val="22"/>
          <w:szCs w:val="22"/>
        </w:rPr>
        <w:t xml:space="preserve">mpete globally. The higher the </w:t>
      </w:r>
      <w:r w:rsidRPr="007A4449">
        <w:rPr>
          <w:rFonts w:ascii="Calibri" w:hAnsi="Calibri" w:cs="Calibri"/>
          <w:sz w:val="22"/>
          <w:szCs w:val="22"/>
        </w:rPr>
        <w:t>LS</w:t>
      </w:r>
      <w:r w:rsidR="007A4449" w:rsidRPr="007A4449">
        <w:rPr>
          <w:rFonts w:ascii="Calibri" w:hAnsi="Calibri" w:cs="Calibri"/>
          <w:sz w:val="22"/>
          <w:szCs w:val="22"/>
        </w:rPr>
        <w:t>E</w:t>
      </w:r>
      <w:r w:rsidRPr="007A4449">
        <w:rPr>
          <w:rFonts w:ascii="Calibri" w:hAnsi="Calibri" w:cs="Calibri"/>
          <w:sz w:val="22"/>
          <w:szCs w:val="22"/>
        </w:rPr>
        <w:t xml:space="preserve"> in an area, the higher the GDP per capita </w:t>
      </w:r>
      <w:r w:rsidR="007A4449" w:rsidRPr="007A4449">
        <w:rPr>
          <w:rFonts w:ascii="Calibri" w:hAnsi="Calibri" w:cs="Calibri"/>
          <w:sz w:val="22"/>
          <w:szCs w:val="22"/>
        </w:rPr>
        <w:fldChar w:fldCharType="begin" w:fldLock="1"/>
      </w:r>
      <w:r w:rsidR="00794344">
        <w:rPr>
          <w:rFonts w:ascii="Calibri" w:hAnsi="Calibri" w:cs="Calibri"/>
          <w:sz w:val="22"/>
          <w:szCs w:val="22"/>
        </w:rPr>
        <w:instrText>ADDIN CSL_CITATION {"citationItems":[{"id":"ITEM-1","itemData":{"author":[{"dropping-particle":"","family":"Handayani","given":"Novi Sri","non-dropping-particle":"","parse-names":false,"suffix":""},{"dropping-particle":"","family":"Bendesa","given":"I K.G","non-dropping-particle":"","parse-names":false,"suffix":""},{"dropping-particle":"","family":"Yuliarmi","given":"Ni Nyoman","non-dropping-particle":"","parse-names":false,"suffix":""}],"container-title":"Jurnal Ekonomi dan Bisnis Universitas Udayana","id":"ITEM-1","issue":"10","issued":{"date-parts":[["2016"]]},"page":"3449-3474","title":"Pengaruh Jumlah Penduduk, Angka Harapan Hidup, Rata-raa Lama Sekolah dan PDRB Per Kapita Terhadap Pertumbuhan Ekonmi di Provinsi Bali","type":"article-journal","volume":"5"},"uris":["http://www.mendeley.com/documents/?uuid=21d929d9-7c58-4099-b2e5-d168cea33cfd"]}],"mendeley":{"formattedCitation":"(Handayani, Bendesa, &amp; Yuliarmi, 2016)","plainTextFormattedCitation":"(Handayani, Bendesa, &amp; Yuliarmi, 2016)","previouslyFormattedCitation":"(Handayani, Bendesa, &amp; Yuliarmi, 2016)"},"properties":{"noteIndex":0},"schema":"https://github.com/citation-style-language/schema/raw/master/csl-citation.json"}</w:instrText>
      </w:r>
      <w:r w:rsidR="007A4449" w:rsidRPr="007A4449">
        <w:rPr>
          <w:rFonts w:ascii="Calibri" w:hAnsi="Calibri" w:cs="Calibri"/>
          <w:sz w:val="22"/>
          <w:szCs w:val="22"/>
        </w:rPr>
        <w:fldChar w:fldCharType="separate"/>
      </w:r>
      <w:r w:rsidR="00B46A0E" w:rsidRPr="00B46A0E">
        <w:rPr>
          <w:rFonts w:ascii="Calibri" w:hAnsi="Calibri" w:cs="Calibri"/>
          <w:noProof/>
          <w:sz w:val="22"/>
          <w:szCs w:val="22"/>
        </w:rPr>
        <w:t>(Handayani, Bendesa, &amp; Yuliarmi, 2016)</w:t>
      </w:r>
      <w:r w:rsidR="007A4449" w:rsidRPr="007A4449">
        <w:rPr>
          <w:rFonts w:ascii="Calibri" w:hAnsi="Calibri" w:cs="Calibri"/>
          <w:sz w:val="22"/>
          <w:szCs w:val="22"/>
        </w:rPr>
        <w:fldChar w:fldCharType="end"/>
      </w:r>
    </w:p>
    <w:p w14:paraId="58301C8E" w14:textId="77777777" w:rsidR="00B467A5" w:rsidRDefault="00B467A5" w:rsidP="00B467A5">
      <w:pPr>
        <w:spacing w:after="0" w:line="240" w:lineRule="auto"/>
        <w:ind w:firstLine="426"/>
        <w:jc w:val="both"/>
      </w:pPr>
      <w:r>
        <w:t xml:space="preserve">This research is supported by </w:t>
      </w:r>
      <w:r w:rsidR="007A4449" w:rsidRPr="00090FAD">
        <w:rPr>
          <w:rFonts w:cstheme="majorBidi"/>
          <w:bCs/>
          <w:szCs w:val="24"/>
        </w:rPr>
        <w:fldChar w:fldCharType="begin" w:fldLock="1"/>
      </w:r>
      <w:r w:rsidR="007A4449">
        <w:rPr>
          <w:rFonts w:cstheme="majorBidi"/>
          <w:bCs/>
          <w:szCs w:val="24"/>
        </w:rPr>
        <w:instrText>ADDIN CSL_CITATION {"citationItems":[{"id":"ITEM-1","itemData":{"DOI":"10.1016/s2212-5671(15)00692-9","ISSN":"22125671","abstract":"In the article, a theory of human development based on reports (Research) of United Nations Development Program is described. Model of human development, which was obtained by means of correlation analysis of a number of quantitative indicators of human development across countries, is considered. The main components of the model are the human development index, the index of innovation, ICT index, Gross national income and life expectancy indexes.","author":[{"dropping-particle":"","family":"Yakunina","given":"R.P.","non-dropping-particle":"","parse-names":false,"suffix":""},{"dropping-particle":"","family":"Bychkov","given":"G.A.","non-dropping-particle":"","parse-names":false,"suffix":""}],"container-title":"Procedia Economics and Finance","id":"ITEM-1","issue":"July","issued":{"date-parts":[["2015"]]},"page":"766-771","publisher":"Elsevier B.V.","title":"Correlation Analysis of the Components of the Human Development Index Across Countries","type":"paper-conference","volume":"24"},"uris":["http://www.mendeley.com/documents/?uuid=190f338b-44b6-45c0-a2cb-a6802375288f"]}],"mendeley":{"formattedCitation":"(Yakunina &amp; Bychkov, 2015)","manualFormatting":"Yakunina &amp; Bychkov, 2015","plainTextFormattedCitation":"(Yakunina &amp; Bychkov, 2015)","previouslyFormattedCitation":"(Yakunina &amp; Bychkov, 2015)"},"properties":{"noteIndex":0},"schema":"https://github.com/citation-style-language/schema/raw/master/csl-citation.json"}</w:instrText>
      </w:r>
      <w:r w:rsidR="007A4449" w:rsidRPr="00090FAD">
        <w:rPr>
          <w:rFonts w:cstheme="majorBidi"/>
          <w:bCs/>
          <w:szCs w:val="24"/>
        </w:rPr>
        <w:fldChar w:fldCharType="separate"/>
      </w:r>
      <w:r w:rsidR="007A4449" w:rsidRPr="00090FAD">
        <w:rPr>
          <w:rFonts w:cstheme="majorBidi"/>
          <w:bCs/>
          <w:noProof/>
          <w:szCs w:val="24"/>
        </w:rPr>
        <w:t>Yakunina &amp; Bychkov, 2015</w:t>
      </w:r>
      <w:r w:rsidR="007A4449" w:rsidRPr="00090FAD">
        <w:rPr>
          <w:rFonts w:cstheme="majorBidi"/>
          <w:bCs/>
          <w:szCs w:val="24"/>
        </w:rPr>
        <w:fldChar w:fldCharType="end"/>
      </w:r>
      <w:r w:rsidR="007A4449">
        <w:rPr>
          <w:rFonts w:cstheme="majorBidi"/>
          <w:bCs/>
          <w:szCs w:val="24"/>
        </w:rPr>
        <w:t xml:space="preserve"> </w:t>
      </w:r>
      <w:r>
        <w:t>research on the correlation of components of the human development index across countries which states that school expectations have a positive and significant effect on the effectiveness of human development. The research of</w:t>
      </w:r>
      <w:r w:rsidR="007A4449">
        <w:t xml:space="preserve"> </w:t>
      </w:r>
      <w:r w:rsidR="007A4449">
        <w:fldChar w:fldCharType="begin" w:fldLock="1"/>
      </w:r>
      <w:r w:rsidR="007A4449">
        <w:instrText>ADDIN CSL_CITATION {"citationItems":[{"id":"ITEM-1","itemData":{"DOI":"10.29332/ijssh.v2n1.102","ISSN":"2550701X","abstract":"The research was intended for determining: (1) the influence of Mean Years of Schooling (MYS) to Human Development Index (HDI) and describe the strategies for increasing MYS in Klungkung regency; (2) the influence of Expected Years of Schooling (EYS) to HDI and describe the strategies to improving EYS in Klungkung regency; (3) the influence of MYS and EYS simultaneously to HDI and describe the strategies to increasing it in Klungkung regency. In order to achieve the above objectives, the research was conducted on HDI in Klungkung using Mixed Methods Study, the population was the society in Klungkung with purposive sampling, snowball, and random sampling technique. Quantitative data were analyzed using the Eviews 7.0. The qualitative data were analyzed using Miles and Huberman model. The result was obtained that: (1) MYS influence to HDI on the t-statistic was 4.09, probability 0.0264, and R-square 0.97; (2) EYS influence of HDI on t-statistic 11.83, probability 0.0013, and R-square was 0.96; (3) MYS and EYS simultaneously influence of HDI with the t-statistic 29.07, probability 0.0012, and R-square was 0.99. The strategies that can be conducted to increase MYS included: (a) increasing the education budget that amount in accordance with the laws and regulations, (b) launching a program of compulsory education to 12 years, (c) revitalizing of local genius educations, (d) developing schools models, (e) establishing the integrity of the community through character education and anti-corruption education, (f) developing entrepreneurship education, and (g) developing models of learning and computer-based testing (ICT). The rise of EYS could be conducted by: (a) reduce poverty, and (b) overcome the problems due to geography and population distribution was uneven.","author":[{"dropping-particle":"","family":"Citrawan","given":"I Wayan","non-dropping-particle":"","parse-names":false,"suffix":""}],"container-title":"International Journal of Social Sciences and Humanities (IJSSH)","id":"ITEM-1","issue":"1","issued":{"date-parts":[["2018"]]},"page":"117-133","title":"Education sector optimization for improving human development index","type":"article-journal","volume":"2"},"uris":["http://www.mendeley.com/documents/?uuid=1c2ce5cf-a390-4369-aa04-225816c0baba"]}],"mendeley":{"formattedCitation":"(Citrawan, 2018)","manualFormatting":"Citrawan, 2018","plainTextFormattedCitation":"(Citrawan, 2018)","previouslyFormattedCitation":"(Citrawan, 2018)"},"properties":{"noteIndex":0},"schema":"https://github.com/citation-style-language/schema/raw/master/csl-citation.json"}</w:instrText>
      </w:r>
      <w:r w:rsidR="007A4449">
        <w:fldChar w:fldCharType="separate"/>
      </w:r>
      <w:r w:rsidR="007A4449" w:rsidRPr="00F67E48">
        <w:rPr>
          <w:noProof/>
        </w:rPr>
        <w:t>Citrawan, 2018</w:t>
      </w:r>
      <w:r w:rsidR="007A4449">
        <w:fldChar w:fldCharType="end"/>
      </w:r>
      <w:r w:rsidR="007A4449">
        <w:t xml:space="preserve"> and </w:t>
      </w:r>
      <w:r w:rsidR="007A4449">
        <w:fldChar w:fldCharType="begin" w:fldLock="1"/>
      </w:r>
      <w:r w:rsidR="007A4449">
        <w:instrText>ADDIN CSL_CITATION {"citationItems":[{"id":"ITEM-1","itemData":{"abstract":"Indek Pembangunan Manusia (IPM) adalah ukuran penting yang diakui secara internasional untuk menggambarkan keberhasilan pembangunan manusia. Oleh karena itu, pengembangan IPM perlu mendapatkan sorotan penting dalam menentukan kebijakan pembangunan. Satu dimensi penting IPM adalah pendidikan, yang diukur dengan Expected Years of Schooling (EYS) dan Mean Years of Schooling (MYS). Angka EYS menggambarkan harapan masyarakat untuk melanjutkan pendidikan dengan mendasarkan diri pada kebijakan pendidikan buatan pemerintah. Sedangkan MYS menggambarkan realitas sekolah lama yang bisa dinikmati oleh masyarakat. Jawa Tengah menunjukkan bahwa EYS lebih besar dari MYS tetapi dengan jarak yang menyempit. Fakta ini menggambarkan bahwa kebijakan pendidikan di Jawa Tengah semakin dapat diakses oleh publik. Namun, secara nasional tingkat pendidikan di Jawa Tengah masih rendah. Beberapa faktor yang menyebabkan masih tingginya angka putus sekolah pada usia 16-18 tahun. ?","author":[{"dropping-particle":"","family":"Fauzan","given":"Mohammad","non-dropping-particle":"","parse-names":false,"suffix":""},{"dropping-particle":"","family":"Nusantara","given":"Agung","non-dropping-particle":"","parse-names":false,"suffix":""},{"dropping-particle":"","family":"Nawatmi","given":"Sri","non-dropping-particle":"","parse-names":false,"suffix":""},{"dropping-particle":"","family":"Santosa","given":"Budi","non-dropping-particle":"","parse-names":false,"suffix":""}],"container-title":"Jurnal Bisnis dan Ekonomi","id":"ITEM-1","issue":"1","issued":{"date-parts":[["2020"]]},"page":"55-64","title":"Indeks Pembangunan Manusia dan Pendidikan di Jawa Tengah","type":"article-journal","volume":"27"},"uris":["http://www.mendeley.com/documents/?uuid=9fe11693-6e23-4962-9151-fadf194dc9df"]}],"mendeley":{"formattedCitation":"(Fauzan, Nusantara, Nawatmi, &amp; Santosa, 2020)","manualFormatting":"Fauzan et al., 2020","plainTextFormattedCitation":"(Fauzan, Nusantara, Nawatmi, &amp; Santosa, 2020)","previouslyFormattedCitation":"(Fauzan, Nusantara, Nawatmi, &amp; Santosa, 2020)"},"properties":{"noteIndex":0},"schema":"https://github.com/citation-style-language/schema/raw/master/csl-citation.json"}</w:instrText>
      </w:r>
      <w:r w:rsidR="007A4449">
        <w:fldChar w:fldCharType="separate"/>
      </w:r>
      <w:r w:rsidR="007A4449" w:rsidRPr="00F67E48">
        <w:rPr>
          <w:noProof/>
        </w:rPr>
        <w:t>Fauzan et al., 2020</w:t>
      </w:r>
      <w:r w:rsidR="007A4449">
        <w:fldChar w:fldCharType="end"/>
      </w:r>
      <w:r w:rsidR="007A4449">
        <w:t xml:space="preserve"> </w:t>
      </w:r>
      <w:r>
        <w:t xml:space="preserve">on the human development index and education is in line with the results of this study where school expectations become human investments made by parents for their children in order to grow their potential to be productive in the future. </w:t>
      </w:r>
      <w:r w:rsidR="007A4449">
        <w:fldChar w:fldCharType="begin" w:fldLock="1"/>
      </w:r>
      <w:r w:rsidR="007A4449">
        <w:instrText>ADDIN CSL_CITATION {"citationItems":[{"id":"ITEM-1","itemData":{"ISSN":"2412-4354","abstract":"The role of improved schooling, a central part of most development strategies, has become controversial because expansion of school attainment has not guaranteed improved economic conditions. This paper reviews the role of education in promoting economic well-being, with a particular focus on the role of educational quality. It concludes that there is strong evidence that the cognitive skills of the population rather than mere school attainment are powerfully related to individual earnings, to the distribution of income, and to economic growth. New empirical results show the importance of both minimal and high level skills, the complementarity of skills and the quality of economic institutions, and the robustness of the relationship between skills and growth. International comparisons incorporating expanded data on cognitive skills reveal much larger skill deficits in developing countries than generally derived from just school enrollment and attainment. The magnitude of change needed makes clear that closing the economic gap with developed countries will require major structural changes in schooling institutions.","author":[{"dropping-particle":"","family":"Hanushek","given":"Eric A","non-dropping-particle":"","parse-names":false,"suffix":""},{"dropping-particle":"","family":"Wößmann","given":"Ludger","non-dropping-particle":"","parse-names":false,"suffix":""}],"container-title":"Economics of Education Review,","id":"ITEM-1","issue":"2","issued":{"date-parts":[["2007"]]},"page":"1-94","title":"The Role of Education Quality in Economic Growth","type":"article-journal","volume":"37"},"uris":["http://www.mendeley.com/documents/?uuid=8015c1e1-5bef-465f-8316-7190bea40fae"]}],"mendeley":{"formattedCitation":"(Hanushek &amp; Wößmann, 2007)","manualFormatting":"Hanushek &amp; Wößmann, 2007","plainTextFormattedCitation":"(Hanushek &amp; Wößmann, 2007)","previouslyFormattedCitation":"(Hanushek &amp; Wößmann, 2007)"},"properties":{"noteIndex":0},"schema":"https://github.com/citation-style-language/schema/raw/master/csl-citation.json"}</w:instrText>
      </w:r>
      <w:r w:rsidR="007A4449">
        <w:fldChar w:fldCharType="separate"/>
      </w:r>
      <w:r w:rsidR="007A4449" w:rsidRPr="00331081">
        <w:rPr>
          <w:noProof/>
        </w:rPr>
        <w:t>Hanushek &amp; Wößmann, 2007</w:t>
      </w:r>
      <w:r w:rsidR="007A4449">
        <w:fldChar w:fldCharType="end"/>
      </w:r>
      <w:r>
        <w:t xml:space="preserve"> stated that formal education is a measure of the certainty of human capital, because the basis of cognitive skills is obtained from perceived school achievement.</w:t>
      </w:r>
    </w:p>
    <w:p w14:paraId="48C44865" w14:textId="77777777" w:rsidR="007A4449" w:rsidRDefault="007A4449" w:rsidP="007A4449">
      <w:pPr>
        <w:pStyle w:val="BodyText"/>
        <w:ind w:firstLine="426"/>
        <w:jc w:val="both"/>
        <w:rPr>
          <w:rFonts w:ascii="Calibri" w:hAnsi="Calibri" w:cs="Calibri"/>
          <w:sz w:val="22"/>
        </w:rPr>
      </w:pPr>
      <w:r>
        <w:rPr>
          <w:rFonts w:ascii="Calibri" w:hAnsi="Calibri" w:cs="Calibri"/>
          <w:sz w:val="22"/>
        </w:rPr>
        <w:t xml:space="preserve"> The results of the study</w:t>
      </w:r>
      <w:r w:rsidR="00B467A5" w:rsidRPr="007A4449">
        <w:rPr>
          <w:rFonts w:ascii="Calibri" w:hAnsi="Calibri" w:cs="Calibri"/>
          <w:sz w:val="22"/>
        </w:rPr>
        <w:t xml:space="preserve"> Average </w:t>
      </w:r>
      <w:r>
        <w:rPr>
          <w:rFonts w:ascii="Calibri" w:hAnsi="Calibri" w:cs="Calibri"/>
          <w:sz w:val="22"/>
        </w:rPr>
        <w:t>Length of Schooling Indicator (A</w:t>
      </w:r>
      <w:r w:rsidR="00B467A5" w:rsidRPr="007A4449">
        <w:rPr>
          <w:rFonts w:ascii="Calibri" w:hAnsi="Calibri" w:cs="Calibri"/>
          <w:sz w:val="22"/>
        </w:rPr>
        <w:t xml:space="preserve">LS) also shows that the research results are related and have a positive influence on the human development index. percent and every 1 percent decrease in the RLS index causes the HDI in Jambi province to decrease by 1.225342 percent. The results of the study are in line with the concept of education which is one of the keys to alleviating social inequality. Individuals who receive a long education reduce economic worries and focus more on self-growth to pursue interests. Education is the best balancer that provides a great opportunity to improve a person's standard of living and has a positive impact on the lives of those around him </w:t>
      </w:r>
      <w:r w:rsidRPr="007A4449">
        <w:rPr>
          <w:rFonts w:ascii="Calibri" w:hAnsi="Calibri" w:cs="Calibri"/>
          <w:sz w:val="22"/>
        </w:rPr>
        <w:fldChar w:fldCharType="begin" w:fldLock="1"/>
      </w:r>
      <w:r w:rsidRPr="007A4449">
        <w:rPr>
          <w:rFonts w:ascii="Calibri" w:hAnsi="Calibri" w:cs="Calibri"/>
          <w:sz w:val="22"/>
        </w:rPr>
        <w:instrText>ADDIN CSL_CITATION {"citationItems":[{"id":"ITEM-1","itemData":{"abstract":"Pertumbuhan ekonomi merupakan masalah jangka panjang yang mempengaruhi perkembangan suatu Negara, dimana pertumbuhan ekonomi menggambarkan tingkat kesejahteraan masyarakat di Negara tersebut. PDB merupakan salah satu indikator yang mencerminkan tinggi rendahnya tingkat kemakmuran disuatu Negara, dalam hal ini tingkat pendapatan perkapita Indonesia masih cenderung rendah dan mengalami ketertinggalan dibandingkan dengan Negara-negara tetangga. Rendahnya pendapatan masyarakat berimplikasi pada rendahnya tingkat investasi yang dapat dilakukan masyarakat itu sendiri, terutama investasi dalam bidang pendidikan. Dalam hal tersebut, pemerintah semakin gencar melakukan perbaikan guna mnedukung pembangunan ekonomi terutama pada sektor pendidikan. Pendidikan merupakan salah satu faktor penting dalam memajukan perekonomian suatu Negara, pendidikan memberikan kontribusi yang besar dalam kemajuan Negara pada bidang pengembangan sumber daya manusia yang berkualitas terutama dalam menghadapi persaingan kerja yang semakin berkembang dan selain itu penerapan free trade area menyebabkan semakin banyaknya peralihan tenaga asing ke Indonesia. Outlook ekonomi Indonesia tahun 2020 mengenai pengembangan sistem ekonomi berbasis digital juga memerlukan tenaga kerja yang terstandarisasi secara global. Masyarakat harus memiliki kompetensi akademik maupun non akademik yang baik untuk bisa bersaing dengan tenaga kerja asing. Keadaan sosial, kesadaran masyarakat, dan sikap masyarakat Indonesia mengenai pentingnya pendidikan masih cenderung rendah, sehingga diperlukan pengetahuan dan pemahaman bagi orang tua untuk menumbuhkan minat investasi dan perencanaan pendidikan anak sejak dini melalui berbagai alternative yang dapat dipilih.","author":[{"dropping-particle":"","family":"Fajar","given":"Catur Martian","non-dropping-particle":"","parse-names":false,"suffix":""},{"dropping-particle":"","family":"Mulyanti","given":"Dwinta","non-dropping-particle":"","parse-names":false,"suffix":""}],"container-title":"Jurnal Abdimas BSI","id":"ITEM-1","issue":"1","issued":{"date-parts":[["2019"]]},"page":"89-95","title":"Meningkatkan Taraf Perekonomian dan Kesejahteraan Melalui Perencanaan Investasi Pendidikan","type":"article-journal","volume":"2"},"uris":["http://www.mendeley.com/documents/?uuid=b5344ce5-6ff6-4f63-bb62-4f9e408cacc2"]}],"mendeley":{"formattedCitation":"(Fajar &amp; Mulyanti, 2019)","plainTextFormattedCitation":"(Fajar &amp; Mulyanti, 2019)","previouslyFormattedCitation":"(Fajar &amp; Mulyanti, 2019)"},"properties":{"noteIndex":0},"schema":"https://github.com/citation-style-language/schema/raw/master/csl-citation.json"}</w:instrText>
      </w:r>
      <w:r w:rsidRPr="007A4449">
        <w:rPr>
          <w:rFonts w:ascii="Calibri" w:hAnsi="Calibri" w:cs="Calibri"/>
          <w:sz w:val="22"/>
        </w:rPr>
        <w:fldChar w:fldCharType="separate"/>
      </w:r>
      <w:r w:rsidRPr="007A4449">
        <w:rPr>
          <w:rFonts w:ascii="Calibri" w:hAnsi="Calibri" w:cs="Calibri"/>
          <w:noProof/>
          <w:sz w:val="22"/>
        </w:rPr>
        <w:t>(Fajar &amp; Mulyanti, 2019)</w:t>
      </w:r>
      <w:r w:rsidRPr="007A4449">
        <w:rPr>
          <w:rFonts w:ascii="Calibri" w:hAnsi="Calibri" w:cs="Calibri"/>
          <w:sz w:val="22"/>
        </w:rPr>
        <w:fldChar w:fldCharType="end"/>
      </w:r>
      <w:r w:rsidRPr="007A4449">
        <w:rPr>
          <w:rFonts w:ascii="Calibri" w:hAnsi="Calibri" w:cs="Calibri"/>
          <w:sz w:val="22"/>
        </w:rPr>
        <w:t xml:space="preserve">. </w:t>
      </w:r>
    </w:p>
    <w:p w14:paraId="2D1A2CED" w14:textId="77777777" w:rsidR="007A4449" w:rsidRPr="007A4449" w:rsidRDefault="007A4449" w:rsidP="007A4449">
      <w:pPr>
        <w:pStyle w:val="BodyText"/>
        <w:ind w:firstLine="426"/>
        <w:jc w:val="both"/>
        <w:rPr>
          <w:rFonts w:ascii="Calibri" w:hAnsi="Calibri" w:cs="Calibri"/>
          <w:sz w:val="22"/>
        </w:rPr>
      </w:pPr>
      <w:r w:rsidRPr="007A4449">
        <w:rPr>
          <w:rFonts w:ascii="Calibri" w:hAnsi="Calibri" w:cs="Calibri"/>
          <w:sz w:val="22"/>
        </w:rPr>
        <w:t xml:space="preserve">The results of the study are in line with the concept of education which is one of the keys to alleviating social inequality. Individuals who receive a long education reduce economic worries and focus more on self-growth to pursue interests. Education is the best balancer that provides a great opportunity to improve a person's standard of living and has a positive impact on the lives of those around him </w:t>
      </w:r>
      <w:r w:rsidRPr="007A4449">
        <w:rPr>
          <w:rFonts w:ascii="Calibri" w:hAnsi="Calibri" w:cs="Calibri"/>
          <w:sz w:val="22"/>
        </w:rPr>
        <w:fldChar w:fldCharType="begin" w:fldLock="1"/>
      </w:r>
      <w:r w:rsidRPr="007A4449">
        <w:rPr>
          <w:rFonts w:ascii="Calibri" w:hAnsi="Calibri" w:cs="Calibri"/>
          <w:sz w:val="22"/>
        </w:rPr>
        <w:instrText>ADDIN CSL_CITATION {"citationItems":[{"id":"ITEM-1","itemData":{"abstract":"Pertumbuhan ekonomi merupakan masalah jangka panjang yang mempengaruhi perkembangan suatu Negara, dimana pertumbuhan ekonomi menggambarkan tingkat kesejahteraan masyarakat di Negara tersebut. PDB merupakan salah satu indikator yang mencerminkan tinggi rendahnya tingkat kemakmuran disuatu Negara, dalam hal ini tingkat pendapatan perkapita Indonesia masih cenderung rendah dan mengalami ketertinggalan dibandingkan dengan Negara-negara tetangga. Rendahnya pendapatan masyarakat berimplikasi pada rendahnya tingkat investasi yang dapat dilakukan masyarakat itu sendiri, terutama investasi dalam bidang pendidikan. Dalam hal tersebut, pemerintah semakin gencar melakukan perbaikan guna mnedukung pembangunan ekonomi terutama pada sektor pendidikan. Pendidikan merupakan salah satu faktor penting dalam memajukan perekonomian suatu Negara, pendidikan memberikan kontribusi yang besar dalam kemajuan Negara pada bidang pengembangan sumber daya manusia yang berkualitas terutama dalam menghadapi persaingan kerja yang semakin berkembang dan selain itu penerapan free trade area menyebabkan semakin banyaknya peralihan tenaga asing ke Indonesia. Outlook ekonomi Indonesia tahun 2020 mengenai pengembangan sistem ekonomi berbasis digital juga memerlukan tenaga kerja yang terstandarisasi secara global. Masyarakat harus memiliki kompetensi akademik maupun non akademik yang baik untuk bisa bersaing dengan tenaga kerja asing. Keadaan sosial, kesadaran masyarakat, dan sikap masyarakat Indonesia mengenai pentingnya pendidikan masih cenderung rendah, sehingga diperlukan pengetahuan dan pemahaman bagi orang tua untuk menumbuhkan minat investasi dan perencanaan pendidikan anak sejak dini melalui berbagai alternative yang dapat dipilih.","author":[{"dropping-particle":"","family":"Fajar","given":"Catur Martian","non-dropping-particle":"","parse-names":false,"suffix":""},{"dropping-particle":"","family":"Mulyanti","given":"Dwinta","non-dropping-particle":"","parse-names":false,"suffix":""}],"container-title":"Jurnal Abdimas BSI","id":"ITEM-1","issue":"1","issued":{"date-parts":[["2019"]]},"page":"89-95","title":"Meningkatkan Taraf Perekonomian dan Kesejahteraan Melalui Perencanaan Investasi Pendidikan","type":"article-journal","volume":"2"},"uris":["http://www.mendeley.com/documents/?uuid=b5344ce5-6ff6-4f63-bb62-4f9e408cacc2"]}],"mendeley":{"formattedCitation":"(Fajar &amp; Mulyanti, 2019)","plainTextFormattedCitation":"(Fajar &amp; Mulyanti, 2019)","previouslyFormattedCitation":"(Fajar &amp; Mulyanti, 2019)"},"properties":{"noteIndex":0},"schema":"https://github.com/citation-style-language/schema/raw/master/csl-citation.json"}</w:instrText>
      </w:r>
      <w:r w:rsidRPr="007A4449">
        <w:rPr>
          <w:rFonts w:ascii="Calibri" w:hAnsi="Calibri" w:cs="Calibri"/>
          <w:sz w:val="22"/>
        </w:rPr>
        <w:fldChar w:fldCharType="separate"/>
      </w:r>
      <w:r w:rsidRPr="007A4449">
        <w:rPr>
          <w:rFonts w:ascii="Calibri" w:hAnsi="Calibri" w:cs="Calibri"/>
          <w:noProof/>
          <w:sz w:val="22"/>
        </w:rPr>
        <w:t>(Fajar &amp; Mulyanti, 2019)</w:t>
      </w:r>
      <w:r w:rsidRPr="007A4449">
        <w:rPr>
          <w:rFonts w:ascii="Calibri" w:hAnsi="Calibri" w:cs="Calibri"/>
          <w:sz w:val="22"/>
        </w:rPr>
        <w:fldChar w:fldCharType="end"/>
      </w:r>
      <w:r w:rsidRPr="007A4449">
        <w:rPr>
          <w:rFonts w:ascii="Calibri" w:hAnsi="Calibri" w:cs="Calibri"/>
          <w:sz w:val="22"/>
        </w:rPr>
        <w:t>.</w:t>
      </w:r>
      <w:r>
        <w:rPr>
          <w:rFonts w:ascii="Calibri" w:hAnsi="Calibri" w:cs="Calibri"/>
          <w:sz w:val="22"/>
        </w:rPr>
        <w:t xml:space="preserve"> </w:t>
      </w:r>
      <w:r w:rsidR="004621A8">
        <w:rPr>
          <w:rFonts w:ascii="Calibri" w:hAnsi="Calibri" w:cs="Calibri"/>
          <w:sz w:val="22"/>
        </w:rPr>
        <w:t>The positive influence of the A</w:t>
      </w:r>
      <w:r w:rsidRPr="007A4449">
        <w:rPr>
          <w:rFonts w:ascii="Calibri" w:hAnsi="Calibri" w:cs="Calibri"/>
          <w:sz w:val="22"/>
        </w:rPr>
        <w:t xml:space="preserve">LS indicator on HDI is supported by the research </w:t>
      </w:r>
      <w:r w:rsidR="004621A8">
        <w:fldChar w:fldCharType="begin" w:fldLock="1"/>
      </w:r>
      <w:r w:rsidR="004621A8">
        <w:instrText>ADDIN CSL_CITATION {"citationItems":[{"id":"ITEM-1","itemData":{"DOI":"10.1016/s2212-5671(15)00692-9","ISSN":"22125671","abstract":"In the article, a theory of human development based on reports (Research) of United Nations Development Program is described. Model of human development, which was obtained by means of correlation analysis of a number of quantitative indicators of human development across countries, is considered. The main components of the model are the human development index, the index of innovation, ICT index, Gross national income and life expectancy indexes.","author":[{"dropping-particle":"","family":"Yakunina","given":"R.P.","non-dropping-particle":"","parse-names":false,"suffix":""},{"dropping-particle":"","family":"Bychkov","given":"G.A.","non-dropping-particle":"","parse-names":false,"suffix":""}],"container-title":"Procedia Economics and Finance","id":"ITEM-1","issue":"July","issued":{"date-parts":[["2015"]]},"page":"766-771","publisher":"Elsevier B.V.","title":"Correlation Analysis of the Components of the Human Development Index Across Countries","type":"paper-conference","volume":"24"},"uris":["http://www.mendeley.com/documents/?uuid=190f338b-44b6-45c0-a2cb-a6802375288f"]}],"mendeley":{"formattedCitation":"(Yakunina &amp; Bychkov, 2015)","manualFormatting":"Yakunina &amp; Bychkov, 2015","plainTextFormattedCitation":"(Yakunina &amp; Bychkov, 2015)","previouslyFormattedCitation":"(Yakunina &amp; Bychkov, 2015)"},"properties":{"noteIndex":0},"schema":"https://github.com/citation-style-language/schema/raw/master/csl-citation.json"}</w:instrText>
      </w:r>
      <w:r w:rsidR="004621A8">
        <w:fldChar w:fldCharType="separate"/>
      </w:r>
      <w:r w:rsidR="004621A8" w:rsidRPr="00F67E48">
        <w:rPr>
          <w:noProof/>
        </w:rPr>
        <w:t>Yakunina &amp; Bychkov, 2015</w:t>
      </w:r>
      <w:r w:rsidR="004621A8">
        <w:fldChar w:fldCharType="end"/>
      </w:r>
      <w:r w:rsidR="004621A8">
        <w:t xml:space="preserve"> </w:t>
      </w:r>
      <w:r w:rsidRPr="007A4449">
        <w:rPr>
          <w:rFonts w:ascii="Calibri" w:hAnsi="Calibri" w:cs="Calibri"/>
          <w:sz w:val="22"/>
        </w:rPr>
        <w:t>on the correlation of components of the human development index across countries which states that th</w:t>
      </w:r>
      <w:r w:rsidR="004621A8">
        <w:rPr>
          <w:rFonts w:ascii="Calibri" w:hAnsi="Calibri" w:cs="Calibri"/>
          <w:sz w:val="22"/>
        </w:rPr>
        <w:t>e average length of schooling (A</w:t>
      </w:r>
      <w:r w:rsidRPr="007A4449">
        <w:rPr>
          <w:rFonts w:ascii="Calibri" w:hAnsi="Calibri" w:cs="Calibri"/>
          <w:sz w:val="22"/>
        </w:rPr>
        <w:t xml:space="preserve">LS) has a positive and significant effect on human development. The research of </w:t>
      </w:r>
      <w:r w:rsidR="004621A8" w:rsidRPr="00EA744B">
        <w:rPr>
          <w:rFonts w:ascii="Calibri" w:hAnsi="Calibri" w:cs="Calibri"/>
          <w:sz w:val="22"/>
        </w:rPr>
        <w:fldChar w:fldCharType="begin" w:fldLock="1"/>
      </w:r>
      <w:r w:rsidR="004621A8" w:rsidRPr="00EA744B">
        <w:rPr>
          <w:rFonts w:ascii="Calibri" w:hAnsi="Calibri" w:cs="Calibri"/>
          <w:sz w:val="22"/>
        </w:rPr>
        <w:instrText>ADDIN CSL_CITATION {"citationItems":[{"id":"ITEM-1","itemData":{"DOI":"10.29332/ijssh.v2n1.102","ISSN":"2550701X","abstract":"The research was intended for determining: (1) the influence of Mean Years of Schooling (MYS) to Human Development Index (HDI) and describe the strategies for increasing MYS in Klungkung regency; (2) the influence of Expected Years of Schooling (EYS) to HDI and describe the strategies to improving EYS in Klungkung regency; (3) the influence of MYS and EYS simultaneously to HDI and describe the strategies to increasing it in Klungkung regency. In order to achieve the above objectives, the research was conducted on HDI in Klungkung using Mixed Methods Study, the population was the society in Klungkung with purposive sampling, snowball, and random sampling technique. Quantitative data were analyzed using the Eviews 7.0. The qualitative data were analyzed using Miles and Huberman model. The result was obtained that: (1) MYS influence to HDI on the t-statistic was 4.09, probability 0.0264, and R-square 0.97; (2) EYS influence of HDI on t-statistic 11.83, probability 0.0013, and R-square was 0.96; (3) MYS and EYS simultaneously influence of HDI with the t-statistic 29.07, probability 0.0012, and R-square was 0.99. The strategies that can be conducted to increase MYS included: (a) increasing the education budget that amount in accordance with the laws and regulations, (b) launching a program of compulsory education to 12 years, (c) revitalizing of local genius educations, (d) developing schools models, (e) establishing the integrity of the community through character education and anti-corruption education, (f) developing entrepreneurship education, and (g) developing models of learning and computer-based testing (ICT). The rise of EYS could be conducted by: (a) reduce poverty, and (b) overcome the problems due to geography and population distribution was uneven.","author":[{"dropping-particle":"","family":"Citrawan","given":"I Wayan","non-dropping-particle":"","parse-names":false,"suffix":""}],"container-title":"International Journal of Social Sciences and Humanities (IJSSH)","id":"ITEM-1","issue":"1","issued":{"date-parts":[["2018"]]},"page":"117-133","title":"Education sector optimization for improving human development index","type":"article-journal","volume":"2"},"uris":["http://www.mendeley.com/documents/?uuid=1c2ce5cf-a390-4369-aa04-225816c0baba"]}],"mendeley":{"formattedCitation":"(Citrawan, 2018)","manualFormatting":"Citrawan, 2018","plainTextFormattedCitation":"(Citrawan, 2018)","previouslyFormattedCitation":"(Citrawan, 2018)"},"properties":{"noteIndex":0},"schema":"https://github.com/citation-style-language/schema/raw/master/csl-citation.json"}</w:instrText>
      </w:r>
      <w:r w:rsidR="004621A8" w:rsidRPr="00EA744B">
        <w:rPr>
          <w:rFonts w:ascii="Calibri" w:hAnsi="Calibri" w:cs="Calibri"/>
          <w:sz w:val="22"/>
        </w:rPr>
        <w:fldChar w:fldCharType="separate"/>
      </w:r>
      <w:r w:rsidR="004621A8" w:rsidRPr="00EA744B">
        <w:rPr>
          <w:rFonts w:ascii="Calibri" w:hAnsi="Calibri" w:cs="Calibri"/>
          <w:noProof/>
          <w:sz w:val="22"/>
        </w:rPr>
        <w:t>Citrawan, 2018</w:t>
      </w:r>
      <w:r w:rsidR="004621A8" w:rsidRPr="00EA744B">
        <w:rPr>
          <w:rFonts w:ascii="Calibri" w:hAnsi="Calibri" w:cs="Calibri"/>
          <w:sz w:val="22"/>
        </w:rPr>
        <w:fldChar w:fldCharType="end"/>
      </w:r>
      <w:r w:rsidR="004621A8" w:rsidRPr="00EA744B">
        <w:rPr>
          <w:rFonts w:ascii="Calibri" w:hAnsi="Calibri" w:cs="Calibri"/>
          <w:sz w:val="22"/>
        </w:rPr>
        <w:t xml:space="preserve"> and </w:t>
      </w:r>
      <w:r w:rsidR="004621A8" w:rsidRPr="00EA744B">
        <w:rPr>
          <w:rFonts w:ascii="Calibri" w:hAnsi="Calibri" w:cs="Calibri"/>
          <w:sz w:val="22"/>
        </w:rPr>
        <w:fldChar w:fldCharType="begin" w:fldLock="1"/>
      </w:r>
      <w:r w:rsidR="00B46A0E">
        <w:rPr>
          <w:rFonts w:ascii="Calibri" w:hAnsi="Calibri" w:cs="Calibri"/>
          <w:sz w:val="22"/>
        </w:rPr>
        <w:instrText>ADDIN CSL_CITATION {"citationItems":[{"id":"ITEM-1","itemData":{"abstract":"Indek Pembangunan Manusia (IPM) adalah ukuran penting yang diakui secara internasional untuk menggambarkan keberhasilan pembangunan manusia. Oleh karena itu, pengembangan IPM perlu mendapatkan sorotan penting dalam menentukan kebijakan pembangunan. Satu dimensi penting IPM adalah pendidikan, yang diukur dengan Expected Years of Schooling (EYS) dan Mean Years of Schooling (MYS). Angka EYS menggambarkan harapan masyarakat untuk melanjutkan pendidikan dengan mendasarkan diri pada kebijakan pendidikan buatan pemerintah. Sedangkan MYS menggambarkan realitas sekolah lama yang bisa dinikmati oleh masyarakat. Jawa Tengah menunjukkan bahwa EYS lebih besar dari MYS tetapi dengan jarak yang menyempit. Fakta ini menggambarkan bahwa kebijakan pendidikan di Jawa Tengah semakin dapat diakses oleh publik. Namun, secara nasional tingkat pendidikan di Jawa Tengah masih rendah. Beberapa faktor yang menyebabkan masih tingginya angka putus sekolah pada usia 16-18 tahun. ?","author":[{"dropping-particle":"","family":"Fauzan","given":"Mohammad","non-dropping-particle":"","parse-names":false,"suffix":""},{"dropping-particle":"","family":"Nusantara","given":"Agung","non-dropping-particle":"","parse-names":false,"suffix":""},{"dropping-particle":"","family":"Nawatmi","given":"Sri","non-dropping-particle":"","parse-names":false,"suffix":""},{"dropping-particle":"","family":"Santosa","given":"Budi","non-dropping-particle":"","parse-names":false,"suffix":""}],"container-title":"Jurnal Bisnis dan Ekonomi","id":"ITEM-1","issue":"1","issued":{"date-parts":[["2020"]]},"page":"55-64","title":"Indeks Pembangunan Manusia dan Pendidikan di Jawa Tengah","type":"article-journal","volume":"27"},"uris":["http://www.mendeley.com/documents/?uuid=9fe11693-6e23-4962-9151-fadf194dc9df"]}],"mendeley":{"formattedCitation":"(Fauzan et al., 2020)","manualFormatting":"Fauzan et al., 2020","plainTextFormattedCitation":"(Fauzan et al., 2020)","previouslyFormattedCitation":"(Fauzan et al., 2020)"},"properties":{"noteIndex":0},"schema":"https://github.com/citation-style-language/schema/raw/master/csl-citation.json"}</w:instrText>
      </w:r>
      <w:r w:rsidR="004621A8" w:rsidRPr="00EA744B">
        <w:rPr>
          <w:rFonts w:ascii="Calibri" w:hAnsi="Calibri" w:cs="Calibri"/>
          <w:sz w:val="22"/>
        </w:rPr>
        <w:fldChar w:fldCharType="separate"/>
      </w:r>
      <w:r w:rsidR="004621A8" w:rsidRPr="00EA744B">
        <w:rPr>
          <w:rFonts w:ascii="Calibri" w:hAnsi="Calibri" w:cs="Calibri"/>
          <w:noProof/>
          <w:sz w:val="22"/>
        </w:rPr>
        <w:t>Fauzan et al., 2020</w:t>
      </w:r>
      <w:r w:rsidR="004621A8" w:rsidRPr="00EA744B">
        <w:rPr>
          <w:rFonts w:ascii="Calibri" w:hAnsi="Calibri" w:cs="Calibri"/>
          <w:sz w:val="22"/>
        </w:rPr>
        <w:fldChar w:fldCharType="end"/>
      </w:r>
      <w:r w:rsidR="004621A8">
        <w:t xml:space="preserve"> </w:t>
      </w:r>
      <w:r w:rsidRPr="007A4449">
        <w:rPr>
          <w:rFonts w:ascii="Calibri" w:hAnsi="Calibri" w:cs="Calibri"/>
          <w:sz w:val="22"/>
        </w:rPr>
        <w:t>on the human development index and education is in line with the results of this study where th</w:t>
      </w:r>
      <w:r w:rsidR="004621A8">
        <w:rPr>
          <w:rFonts w:ascii="Calibri" w:hAnsi="Calibri" w:cs="Calibri"/>
          <w:sz w:val="22"/>
        </w:rPr>
        <w:t>e average length of schooling (A</w:t>
      </w:r>
      <w:r w:rsidRPr="007A4449">
        <w:rPr>
          <w:rFonts w:ascii="Calibri" w:hAnsi="Calibri" w:cs="Calibri"/>
          <w:sz w:val="22"/>
        </w:rPr>
        <w:t xml:space="preserve">LS) will form individuals who are more independent, </w:t>
      </w:r>
      <w:r w:rsidRPr="007A4449">
        <w:rPr>
          <w:rFonts w:ascii="Calibri" w:hAnsi="Calibri" w:cs="Calibri"/>
          <w:sz w:val="22"/>
        </w:rPr>
        <w:lastRenderedPageBreak/>
        <w:t xml:space="preserve">creative and able to create jobs. Research by </w:t>
      </w:r>
      <w:r w:rsidR="004621A8" w:rsidRPr="00EA744B">
        <w:rPr>
          <w:rFonts w:ascii="Calibri" w:hAnsi="Calibri" w:cs="Calibri"/>
          <w:sz w:val="22"/>
        </w:rPr>
        <w:fldChar w:fldCharType="begin" w:fldLock="1"/>
      </w:r>
      <w:r w:rsidR="004621A8" w:rsidRPr="00EA744B">
        <w:rPr>
          <w:rFonts w:ascii="Calibri" w:hAnsi="Calibri" w:cs="Calibri"/>
          <w:sz w:val="22"/>
        </w:rPr>
        <w:instrText>ADDIN CSL_CITATION {"citationItems":[{"id":"ITEM-1","itemData":{"DOI":"10.1016/j.respol.2016.04.006","ISSN":"00487333","abstract":"Human capital is identified as one of the main determinants of economic growth and plays an important role in the technological progress of countries. Nevertheless, existing studies have to some extent neglected the importance of human capital in the growth process via the interaction it can have with a country's industrial specialization. Additionally, the emphasis is mainly placed on supply-side determinants, while demand-side factors are neglected, particularly the relevance of the processes of structural change. Thus, using a growth model which integrates variables from both the supply side and demand side, we assess the direct and indirect effects of human capital on economic growth, including in the latter the interaction of human capital with the industrial specialization of countries. Based on dynamic panel data estimations, we found that human capital and the countries’ productive specialization dynamics are crucial factors for economic growth. Moreover, the interaction between human capital and structural change in high knowledge-intensive industries impacts significantly on economic growth. However, the sign of this effect depends on the type of country and the period of analysis. Specifically, over a longer time span (1960–2011) and for more highly developed (OECD) countries, the impact of the interaction between human capital and structural change is positive. When we also include transition and Mediterranean countries over a shorter time period (1990–2011), we find that human capital significantly and positively impacts on the countries’ economic growth but the effect of human capital via specialization in high-tech and knowledge-intensive activities is negative. The latter result indicates that the lack of industrial structures able to properly integrate highly educated individuals into the productive system leads countries to experience disappointing economic returns.","author":[{"dropping-particle":"","family":"Teixeira","given":"Aurora A.C.","non-dropping-particle":"","parse-names":false,"suffix":""},{"dropping-particle":"","family":"Queirós","given":"Anabela S.S.","non-dropping-particle":"","parse-names":false,"suffix":""}],"container-title":"Research Policy","id":"ITEM-1","issue":"8","issued":{"date-parts":[["2016"]]},"page":"1636-1648","publisher":"Elsevier B.V.","title":"Economic growth, human capital and structural change: A dynamic panel data analysis","type":"article-journal","volume":"45"},"uris":["http://www.mendeley.com/documents/?uuid=b39953b9-7571-42ea-aedd-b050083dd9fa"]}],"mendeley":{"formattedCitation":"(Teixeira &amp; Queirós, 2016)","manualFormatting":"Teixeira &amp; Queirós, 2016","plainTextFormattedCitation":"(Teixeira &amp; Queirós, 2016)","previouslyFormattedCitation":"(Teixeira &amp; Queirós, 2016)"},"properties":{"noteIndex":0},"schema":"https://github.com/citation-style-language/schema/raw/master/csl-citation.json"}</w:instrText>
      </w:r>
      <w:r w:rsidR="004621A8" w:rsidRPr="00EA744B">
        <w:rPr>
          <w:rFonts w:ascii="Calibri" w:hAnsi="Calibri" w:cs="Calibri"/>
          <w:sz w:val="22"/>
        </w:rPr>
        <w:fldChar w:fldCharType="separate"/>
      </w:r>
      <w:r w:rsidR="004621A8" w:rsidRPr="00EA744B">
        <w:rPr>
          <w:rFonts w:ascii="Calibri" w:hAnsi="Calibri" w:cs="Calibri"/>
          <w:noProof/>
          <w:sz w:val="22"/>
        </w:rPr>
        <w:t>Teixeira &amp; Queirós, 2016</w:t>
      </w:r>
      <w:r w:rsidR="004621A8" w:rsidRPr="00EA744B">
        <w:rPr>
          <w:rFonts w:ascii="Calibri" w:hAnsi="Calibri" w:cs="Calibri"/>
          <w:sz w:val="22"/>
        </w:rPr>
        <w:fldChar w:fldCharType="end"/>
      </w:r>
      <w:r w:rsidR="004621A8">
        <w:t xml:space="preserve"> </w:t>
      </w:r>
      <w:r w:rsidRPr="007A4449">
        <w:rPr>
          <w:rFonts w:ascii="Calibri" w:hAnsi="Calibri" w:cs="Calibri"/>
          <w:sz w:val="22"/>
        </w:rPr>
        <w:t>concluded that the population of a country with high educational attainment is able to develop faster because it increases the skills of the workforce which has a positive impact on their productivity.</w:t>
      </w:r>
    </w:p>
    <w:p w14:paraId="603A3898" w14:textId="77777777" w:rsidR="002A7579" w:rsidRPr="00EA744B" w:rsidRDefault="007A4449" w:rsidP="00EA744B">
      <w:pPr>
        <w:pStyle w:val="BodyText"/>
        <w:ind w:firstLine="426"/>
        <w:jc w:val="both"/>
        <w:rPr>
          <w:rFonts w:ascii="Calibri" w:hAnsi="Calibri" w:cs="Calibri"/>
          <w:sz w:val="22"/>
        </w:rPr>
      </w:pPr>
      <w:r w:rsidRPr="007A4449">
        <w:rPr>
          <w:rFonts w:ascii="Calibri" w:hAnsi="Calibri" w:cs="Calibri"/>
          <w:sz w:val="22"/>
        </w:rPr>
        <w:t xml:space="preserve">However, currently, according to the Executive Director of CORE Indonesia, Mohammad Faisal, as reported by </w:t>
      </w:r>
      <w:r w:rsidR="004621A8" w:rsidRPr="004621A8">
        <w:rPr>
          <w:rFonts w:ascii="Calibri" w:hAnsi="Calibri" w:cs="Calibri"/>
          <w:sz w:val="22"/>
        </w:rPr>
        <w:fldChar w:fldCharType="begin" w:fldLock="1"/>
      </w:r>
      <w:r w:rsidR="00B46A0E">
        <w:rPr>
          <w:rFonts w:ascii="Calibri" w:hAnsi="Calibri" w:cs="Calibri"/>
          <w:sz w:val="22"/>
        </w:rPr>
        <w:instrText>ADDIN CSL_CITATION {"citationItems":[{"id":"ITEM-1","itemData":{"URL":"https://www.cnnindonesia.com/ekonomi/20210503170819-92-638002/angka-pengangguran-muda-ri-tertinggi-se-asia-tenggara","accessed":{"date-parts":[["2021","5","3"]]},"author":[{"dropping-particle":"","family":"Makki","given":"Safir","non-dropping-particle":"","parse-names":false,"suffix":""}],"container-title":"CNN Indonesia","id":"ITEM-1","issued":{"date-parts":[["2021"]]},"title":"Angka Pengangguran Muda RI Tertinggi se-Asia Tenggara","type":"webpage"},"uris":["http://www.mendeley.com/documents/?uuid=29c7c68a-1213-4ea5-8c34-268d44b98dff"]}],"mendeley":{"formattedCitation":"(Makki, 2021)","manualFormatting":"Makki, 2021","plainTextFormattedCitation":"(Makki, 2021)","previouslyFormattedCitation":"(Makki, 2021)"},"properties":{"noteIndex":0},"schema":"https://github.com/citation-style-language/schema/raw/master/csl-citation.json"}</w:instrText>
      </w:r>
      <w:r w:rsidR="004621A8" w:rsidRPr="004621A8">
        <w:rPr>
          <w:rFonts w:ascii="Calibri" w:hAnsi="Calibri" w:cs="Calibri"/>
          <w:sz w:val="22"/>
        </w:rPr>
        <w:fldChar w:fldCharType="separate"/>
      </w:r>
      <w:r w:rsidR="004621A8" w:rsidRPr="004621A8">
        <w:rPr>
          <w:rFonts w:ascii="Calibri" w:hAnsi="Calibri" w:cs="Calibri"/>
          <w:noProof/>
          <w:sz w:val="22"/>
        </w:rPr>
        <w:t>Makki, 2021</w:t>
      </w:r>
      <w:r w:rsidR="004621A8" w:rsidRPr="004621A8">
        <w:rPr>
          <w:rFonts w:ascii="Calibri" w:hAnsi="Calibri" w:cs="Calibri"/>
          <w:sz w:val="22"/>
        </w:rPr>
        <w:fldChar w:fldCharType="end"/>
      </w:r>
      <w:r w:rsidRPr="007A4449">
        <w:rPr>
          <w:rFonts w:ascii="Calibri" w:hAnsi="Calibri" w:cs="Calibri"/>
          <w:sz w:val="22"/>
        </w:rPr>
        <w:t>, he said that Indonesia's youth unemployment rate is the highest in Southeast Asia. From the data he described, the proportion of youth unemployed in Indonesia almost touched 20 percent in 2020. Meanwhile, other countries such as the Philippines, Thailand, Vietnam, Singapore and Malaysia are still below 15 percent. Unemployment continues to increase, especially at the age of 20-29 or in their 20s, with the percentage of young unemployed being dominated by those with upper secondary education. One of the problems that caused it was a mismatch or mismatch between job creation and the qualifications of new graduates that occurred before the COVID-19 pandemic.</w:t>
      </w:r>
      <w:r w:rsidR="00EA744B">
        <w:rPr>
          <w:rFonts w:ascii="Calibri" w:hAnsi="Calibri" w:cs="Calibri"/>
          <w:sz w:val="22"/>
        </w:rPr>
        <w:t xml:space="preserve"> </w:t>
      </w:r>
      <w:r w:rsidRPr="002A7579">
        <w:rPr>
          <w:rFonts w:ascii="Calibri" w:hAnsi="Calibri" w:cs="Calibri"/>
          <w:sz w:val="22"/>
          <w:szCs w:val="22"/>
        </w:rPr>
        <w:t xml:space="preserve">The occurrence of an education mismatch can be caused by three things, namely: (1) the number of workers who have the ability in a field but the jobs that require these skills are fewer </w:t>
      </w:r>
      <w:r w:rsidR="004621A8" w:rsidRPr="002A7579">
        <w:rPr>
          <w:rFonts w:ascii="Calibri" w:hAnsi="Calibri" w:cs="Calibri"/>
          <w:sz w:val="22"/>
          <w:szCs w:val="22"/>
        </w:rPr>
        <w:fldChar w:fldCharType="begin" w:fldLock="1"/>
      </w:r>
      <w:r w:rsidR="004621A8" w:rsidRPr="002A7579">
        <w:rPr>
          <w:rFonts w:ascii="Calibri" w:hAnsi="Calibri" w:cs="Calibri"/>
          <w:sz w:val="22"/>
          <w:szCs w:val="22"/>
        </w:rPr>
        <w:instrText>ADDIN CSL_CITATION {"citationItems":[{"id":"ITEM-1","itemData":{"DOI":"10.1080/00036840500427700","ISSN":"00036846","abstract":"Two theories of over-qualification are considered, namely mismatch, whereby workers do not find the most appropriate jobs for their skills, because of imperfect information or labour market rigidities, and 'heterogeneous workers', whereby individuals with the same qualifications have different actual skill levels, so that they can be over-qualified in terms of formal qualifications, while their skills are actually appropriate for the jobs that they do. The evidence suggests that both theories are relevant in certain situations.","author":[{"dropping-particle":"","family":"Green","given":"Francis","non-dropping-particle":"","parse-names":false,"suffix":""},{"dropping-particle":"","family":"McIntosh","given":"Steven","non-dropping-particle":"","parse-names":false,"suffix":""}],"container-title":"Applied Economics","id":"ITEM-1","issue":"4","issued":{"date-parts":[["2007"]]},"page":"427-439","title":"Is there a genuine under-utilization of skills amongst the over-qualified?","type":"article-journal","volume":"39"},"uris":["http://www.mendeley.com/documents/?uuid=071ed3e5-2e05-4333-9094-ca83442fb2b7"]}],"mendeley":{"formattedCitation":"(Green &amp; McIntosh, 2007)","plainTextFormattedCitation":"(Green &amp; McIntosh, 2007)","previouslyFormattedCitation":"(Green &amp; McIntosh, 2007)"},"properties":{"noteIndex":0},"schema":"https://github.com/citation-style-language/schema/raw/master/csl-citation.json"}</w:instrText>
      </w:r>
      <w:r w:rsidR="004621A8" w:rsidRPr="002A7579">
        <w:rPr>
          <w:rFonts w:ascii="Calibri" w:hAnsi="Calibri" w:cs="Calibri"/>
          <w:sz w:val="22"/>
          <w:szCs w:val="22"/>
        </w:rPr>
        <w:fldChar w:fldCharType="separate"/>
      </w:r>
      <w:r w:rsidR="004621A8" w:rsidRPr="002A7579">
        <w:rPr>
          <w:rFonts w:ascii="Calibri" w:hAnsi="Calibri" w:cs="Calibri"/>
          <w:noProof/>
          <w:sz w:val="22"/>
          <w:szCs w:val="22"/>
        </w:rPr>
        <w:t>(Green &amp; McIntosh, 2007)</w:t>
      </w:r>
      <w:r w:rsidR="004621A8" w:rsidRPr="002A7579">
        <w:rPr>
          <w:rFonts w:ascii="Calibri" w:hAnsi="Calibri" w:cs="Calibri"/>
          <w:sz w:val="22"/>
          <w:szCs w:val="22"/>
        </w:rPr>
        <w:fldChar w:fldCharType="end"/>
      </w:r>
      <w:r w:rsidRPr="002A7579">
        <w:rPr>
          <w:rFonts w:ascii="Calibri" w:hAnsi="Calibri" w:cs="Calibri"/>
          <w:sz w:val="22"/>
          <w:szCs w:val="22"/>
        </w:rPr>
        <w:t xml:space="preserve">, (2) the education mismatch occurs due to a lack of information. regarding a job so that the graduate does not have the expected ability to do the job in accordance with the expected job description </w:t>
      </w:r>
      <w:r w:rsidR="004621A8" w:rsidRPr="002A7579">
        <w:rPr>
          <w:rFonts w:ascii="Calibri" w:hAnsi="Calibri" w:cs="Calibri"/>
          <w:sz w:val="22"/>
          <w:szCs w:val="22"/>
        </w:rPr>
        <w:fldChar w:fldCharType="begin" w:fldLock="1"/>
      </w:r>
      <w:r w:rsidR="004621A8" w:rsidRPr="002A7579">
        <w:rPr>
          <w:rFonts w:ascii="Calibri" w:hAnsi="Calibri" w:cs="Calibri"/>
          <w:sz w:val="22"/>
          <w:szCs w:val="22"/>
        </w:rPr>
        <w:instrText>ADDIN CSL_CITATION {"citationItems":[{"id":"ITEM-1","itemData":{"ISBN":"9789289607278","abstract":"During the past two years, the photovoltaic (PV) industry has undergone remarkable growth and seen significant changes as photovoltaic technology becomes an increasingly competitive part of Europe’s energy mix. In 2011, the world-wide market for PV continued to grow even in the midst of financial and economic crisis. But the industry also faced new challenges as some countries sought to roll back the support schemes that have helped PV close the competitiveness gap with conventional electricity sources. On this report you will see a snapshot of the work EPIA did in 2011 to promote PV market development and influence the regulatory process.","author":[{"dropping-particle":"","family":"Cedefop","given":"","non-dropping-particle":"","parse-names":false,"suffix":""}],"container-title":"EPPO Bulletin","id":"ITEM-1","issue":"3","issued":{"date-parts":[["2011"]]},"number-of-pages":"467-476","publisher":"Publications Office of the European Union","publisher-place":"Luxembourg","title":"European Center for The Development of Vocational Training. Annual Report 2010.","type":"book","volume":"41"},"uris":["http://www.mendeley.com/documents/?uuid=9b1ea4c9-75ae-4f77-b467-b4f0cad4e9a8"]}],"mendeley":{"formattedCitation":"(Cedefop, 2011)","plainTextFormattedCitation":"(Cedefop, 2011)","previouslyFormattedCitation":"(Cedefop, 2011)"},"properties":{"noteIndex":0},"schema":"https://github.com/citation-style-language/schema/raw/master/csl-citation.json"}</w:instrText>
      </w:r>
      <w:r w:rsidR="004621A8" w:rsidRPr="002A7579">
        <w:rPr>
          <w:rFonts w:ascii="Calibri" w:hAnsi="Calibri" w:cs="Calibri"/>
          <w:sz w:val="22"/>
          <w:szCs w:val="22"/>
        </w:rPr>
        <w:fldChar w:fldCharType="separate"/>
      </w:r>
      <w:r w:rsidR="004621A8" w:rsidRPr="002A7579">
        <w:rPr>
          <w:rFonts w:ascii="Calibri" w:hAnsi="Calibri" w:cs="Calibri"/>
          <w:noProof/>
          <w:sz w:val="22"/>
          <w:szCs w:val="22"/>
        </w:rPr>
        <w:t>(Cedefop, 2011)</w:t>
      </w:r>
      <w:r w:rsidR="004621A8" w:rsidRPr="002A7579">
        <w:rPr>
          <w:rFonts w:ascii="Calibri" w:hAnsi="Calibri" w:cs="Calibri"/>
          <w:sz w:val="22"/>
          <w:szCs w:val="22"/>
        </w:rPr>
        <w:fldChar w:fldCharType="end"/>
      </w:r>
      <w:r w:rsidRPr="002A7579">
        <w:rPr>
          <w:rFonts w:ascii="Calibri" w:hAnsi="Calibri" w:cs="Calibri"/>
          <w:sz w:val="22"/>
          <w:szCs w:val="22"/>
        </w:rPr>
        <w:t xml:space="preserve">, (3) There are heterogeneous abilities created by the education system and pattern imposed by a government </w:t>
      </w:r>
      <w:r w:rsidR="002A7579" w:rsidRPr="002A7579">
        <w:rPr>
          <w:rFonts w:ascii="Calibri" w:hAnsi="Calibri" w:cs="Calibri"/>
          <w:sz w:val="22"/>
          <w:szCs w:val="22"/>
        </w:rPr>
        <w:fldChar w:fldCharType="begin" w:fldLock="1"/>
      </w:r>
      <w:r w:rsidR="002A7579" w:rsidRPr="002A7579">
        <w:rPr>
          <w:rFonts w:ascii="Calibri" w:hAnsi="Calibri" w:cs="Calibri"/>
          <w:sz w:val="22"/>
          <w:szCs w:val="22"/>
        </w:rPr>
        <w:instrText>ADDIN CSL_CITATION {"citationItems":[{"id":"ITEM-1","itemData":{"DOI":"10.7454/jps.2020.09","ISSN":"0853-3997","abstract":"Salah satu faktor penting yang mempengaruhi work engagement adalah kompetensi. Terdapat inkonsistensi dengan penelitian sebelumnya mengenai peran dari perceived competency terhadap work engagement di kalangan pekerja yang mangalami horizontal education mismatch. Oleh karena itu, penelitian dilakukan untuk menguji apakah ada pengaruh perceived competency terhadap work engagement terutamanya pada pekerja yang mengalami horizontal education mismatch. Responden penelitian ini terdiri dari 566 pekerja yang mengalami horizontal education mismatch, dengan rentang usia 19-55 tahun dan merupakan lulusan sekolah kejuruan ataupun sarjana strata 1. Hasil penelitian menunjukkan bahwa perceived competency memiliki efek positif terhadap work engagement pekerja yang mengalami horizontal education mismatch di Jakarta, Bogor, Tangerang, dan Bekasi. Penelitian ini juga menunjukkan bahwa kompetensi intelektual memberikan pengaruh terbesar kepada work engagement, terutamanya pada dimensi vigor dan dedication. Hal ini menunjukkan bahwa pekerja yang memiliki kompentensi intelektual yang tinggi juga akan menunjukkan vigor dan dedication yang tinggi di tempatnya bekerja.","author":[{"dropping-particle":"","family":"Wardani","given":"Laila Meiliyandrie Indah","non-dropping-particle":"","parse-names":false,"suffix":""},{"dropping-particle":"","family":"Fatimah","given":"Siti","non-dropping-particle":"","parse-names":false,"suffix":""}],"container-title":"Jurnal Psikologi Sosial","id":"ITEM-1","issue":"1","issued":{"date-parts":[["2020"]]},"page":"73-85","title":"Kompetensi Pekerja dan Efeknya Terhadap Work Engagement: Riset pada Pekerja dengan Horizontal Education Mismatch","type":"article-journal","volume":"18"},"uris":["http://www.mendeley.com/documents/?uuid=f99a0632-b4f5-4238-a4ab-388c94426739"]}],"mendeley":{"formattedCitation":"(Wardani &amp; Fatimah, 2020)","plainTextFormattedCitation":"(Wardani &amp; Fatimah, 2020)","previouslyFormattedCitation":"(Wardani &amp; Fatimah, 2020)"},"properties":{"noteIndex":0},"schema":"https://github.com/citation-style-language/schema/raw/master/csl-citation.json"}</w:instrText>
      </w:r>
      <w:r w:rsidR="002A7579" w:rsidRPr="002A7579">
        <w:rPr>
          <w:rFonts w:ascii="Calibri" w:hAnsi="Calibri" w:cs="Calibri"/>
          <w:sz w:val="22"/>
          <w:szCs w:val="22"/>
        </w:rPr>
        <w:fldChar w:fldCharType="separate"/>
      </w:r>
      <w:r w:rsidR="002A7579" w:rsidRPr="002A7579">
        <w:rPr>
          <w:rFonts w:ascii="Calibri" w:hAnsi="Calibri" w:cs="Calibri"/>
          <w:noProof/>
          <w:sz w:val="22"/>
          <w:szCs w:val="22"/>
        </w:rPr>
        <w:t>(Wardani &amp; Fatimah, 2020)</w:t>
      </w:r>
      <w:r w:rsidR="002A7579" w:rsidRPr="002A7579">
        <w:rPr>
          <w:rFonts w:ascii="Calibri" w:hAnsi="Calibri" w:cs="Calibri"/>
          <w:sz w:val="22"/>
          <w:szCs w:val="22"/>
        </w:rPr>
        <w:fldChar w:fldCharType="end"/>
      </w:r>
      <w:r w:rsidR="002A7579" w:rsidRPr="002A7579">
        <w:rPr>
          <w:rFonts w:ascii="Calibri" w:hAnsi="Calibri" w:cs="Calibri"/>
          <w:sz w:val="22"/>
          <w:szCs w:val="22"/>
        </w:rPr>
        <w:t>.</w:t>
      </w:r>
      <w:r w:rsidR="002A7579">
        <w:rPr>
          <w:rFonts w:ascii="Calibri" w:hAnsi="Calibri" w:cs="Calibri"/>
          <w:sz w:val="22"/>
          <w:szCs w:val="22"/>
        </w:rPr>
        <w:t xml:space="preserve"> </w:t>
      </w:r>
    </w:p>
    <w:p w14:paraId="3499F769" w14:textId="77777777" w:rsidR="00B467A5" w:rsidRPr="002A7579" w:rsidRDefault="007A4449" w:rsidP="002A7579">
      <w:pPr>
        <w:pStyle w:val="BodyText"/>
        <w:ind w:firstLine="426"/>
        <w:jc w:val="both"/>
        <w:rPr>
          <w:rFonts w:ascii="Calibri" w:hAnsi="Calibri" w:cs="Calibri"/>
          <w:sz w:val="22"/>
          <w:szCs w:val="22"/>
        </w:rPr>
      </w:pPr>
      <w:r w:rsidRPr="007A4449">
        <w:rPr>
          <w:rFonts w:ascii="Calibri" w:hAnsi="Calibri" w:cs="Calibri"/>
          <w:sz w:val="22"/>
        </w:rPr>
        <w:t xml:space="preserve">The large number of young unemployed in Indonesia can also be caused by Covid-19 which creates obstacles such as (1) disruption to education and training, which can reduce potential job opportunities in the future; (2) the current wave of job losses and the collapse of businesses and start-ups are reducing incomes and jobs (and threatening rights at work); and (3) the emergence of greater </w:t>
      </w:r>
      <w:r w:rsidRPr="002A7579">
        <w:rPr>
          <w:rFonts w:ascii="Calibri" w:hAnsi="Calibri" w:cs="Calibri"/>
          <w:sz w:val="22"/>
          <w:szCs w:val="22"/>
        </w:rPr>
        <w:t xml:space="preserve">barriers to finding work, re-entering the labor market and trying to shift to better jobs </w:t>
      </w:r>
      <w:r w:rsidR="002A7579" w:rsidRPr="002A7579">
        <w:rPr>
          <w:rFonts w:ascii="Calibri" w:hAnsi="Calibri" w:cs="Calibri"/>
          <w:sz w:val="22"/>
          <w:szCs w:val="22"/>
        </w:rPr>
        <w:fldChar w:fldCharType="begin" w:fldLock="1"/>
      </w:r>
      <w:r w:rsidR="002A7579" w:rsidRPr="002A7579">
        <w:rPr>
          <w:rFonts w:ascii="Calibri" w:hAnsi="Calibri" w:cs="Calibri"/>
          <w:sz w:val="22"/>
          <w:szCs w:val="22"/>
        </w:rPr>
        <w:instrText>ADDIN CSL_CITATION {"citationItems":[{"id":"ITEM-1","itemData":{"author":[{"dropping-particle":"","family":"ILO","given":"","non-dropping-particle":"","parse-names":false,"suffix":""}],"container-title":"International Labour Organization","id":"ITEM-1","issue":"April","issued":{"date-parts":[["2020"]]},"page":"1-12","title":"Pemantauan ILO : COVID-19 dan Dunia Kerja Estimasi dan Analisis Terbaru","type":"article-journal","volume":"4"},"uris":["http://www.mendeley.com/documents/?uuid=98d7b845-4045-49d4-a135-93b9476b219d"]}],"mendeley":{"formattedCitation":"(ILO, 2020)","plainTextFormattedCitation":"(ILO, 2020)","previouslyFormattedCitation":"(ILO, 2020)"},"properties":{"noteIndex":0},"schema":"https://github.com/citation-style-language/schema/raw/master/csl-citation.json"}</w:instrText>
      </w:r>
      <w:r w:rsidR="002A7579" w:rsidRPr="002A7579">
        <w:rPr>
          <w:rFonts w:ascii="Calibri" w:hAnsi="Calibri" w:cs="Calibri"/>
          <w:sz w:val="22"/>
          <w:szCs w:val="22"/>
        </w:rPr>
        <w:fldChar w:fldCharType="separate"/>
      </w:r>
      <w:r w:rsidR="002A7579" w:rsidRPr="002A7579">
        <w:rPr>
          <w:rFonts w:ascii="Calibri" w:hAnsi="Calibri" w:cs="Calibri"/>
          <w:noProof/>
          <w:sz w:val="22"/>
          <w:szCs w:val="22"/>
        </w:rPr>
        <w:t>(ILO, 2020)</w:t>
      </w:r>
      <w:r w:rsidR="002A7579" w:rsidRPr="002A7579">
        <w:rPr>
          <w:rFonts w:ascii="Calibri" w:hAnsi="Calibri" w:cs="Calibri"/>
          <w:sz w:val="22"/>
          <w:szCs w:val="22"/>
        </w:rPr>
        <w:fldChar w:fldCharType="end"/>
      </w:r>
      <w:r w:rsidR="002A7579" w:rsidRPr="009C09DA">
        <w:t>.</w:t>
      </w:r>
      <w:r w:rsidR="002A7579">
        <w:t xml:space="preserve"> </w:t>
      </w:r>
      <w:r w:rsidR="002A7579" w:rsidRPr="002A7579">
        <w:rPr>
          <w:rFonts w:ascii="Calibri" w:hAnsi="Calibri" w:cs="Calibri"/>
          <w:sz w:val="22"/>
        </w:rPr>
        <w:t>Based on the problems of the large number of unemployed in Indonesia, the government should formulate policies, plan and evaluate the distribution of good education programs. Especially in improving the quality of prospective workers for those who are pursuing higher education. The government should make policies that encourage young people to make new innovations. So that labor will not increase the number of unemployed, but will play a role in reducing the number of unemployed.</w:t>
      </w:r>
    </w:p>
    <w:p w14:paraId="11B548F8" w14:textId="77777777" w:rsidR="00EA744B" w:rsidRDefault="00084153" w:rsidP="00EA744B">
      <w:pPr>
        <w:spacing w:after="0" w:line="240" w:lineRule="auto"/>
        <w:ind w:firstLine="426"/>
        <w:jc w:val="both"/>
      </w:pPr>
      <w:r w:rsidRPr="00084153">
        <w:t>Factors that affect the human development index in the economic field have indicators of per capita expenditure adjusted. The results show that the adjusted per capita expenditure has a positive and significant effect on the human development index (HDI) in Jambi province for the period 2010-2020. The coefficient value of the variable per capita expenditure is adjusted to 0.001091, which means that if the per capita expenditure is adjusted to increase by 1, the HDI level will increase by 0.001091 percent and every decrease in per capita expenditure is adjusted by 1, causing the HDI in Jambi province to decrease by 0.001091 percent.</w:t>
      </w:r>
      <w:r w:rsidR="00EA744B">
        <w:t xml:space="preserve"> </w:t>
      </w:r>
      <w:r w:rsidRPr="00084153">
        <w:t xml:space="preserve">The results of this study are in line with </w:t>
      </w:r>
      <w:r w:rsidR="00EA744B">
        <w:fldChar w:fldCharType="begin" w:fldLock="1"/>
      </w:r>
      <w:r w:rsidR="00EA744B">
        <w:instrText>ADDIN CSL_CITATION {"citationItems":[{"id":"ITEM-1","itemData":{"DOI":"10.1016/s2212-5671(15)00692-9","ISSN":"22125671","abstract":"In the article, a theory of human development based on reports (Research) of United Nations Development Program is described. Model of human development, which was obtained by means of correlation analysis of a number of quantitative indicators of human development across countries, is considered. The main components of the model are the human development index, the index of innovation, ICT index, Gross national income and life expectancy indexes.","author":[{"dropping-particle":"","family":"Yakunina","given":"R.P.","non-dropping-particle":"","parse-names":false,"suffix":""},{"dropping-particle":"","family":"Bychkov","given":"G.A.","non-dropping-particle":"","parse-names":false,"suffix":""}],"container-title":"Procedia Economics and Finance","id":"ITEM-1","issue":"July","issued":{"date-parts":[["2015"]]},"page":"766-771","publisher":"Elsevier B.V.","title":"Correlation Analysis of the Components of the Human Development Index Across Countries","type":"paper-conference","volume":"24"},"uris":["http://www.mendeley.com/documents/?uuid=190f338b-44b6-45c0-a2cb-a6802375288f"]}],"mendeley":{"formattedCitation":"(Yakunina &amp; Bychkov, 2015)","manualFormatting":"Yakunina &amp; Bychkov, 2015","plainTextFormattedCitation":"(Yakunina &amp; Bychkov, 2015)","previouslyFormattedCitation":"(Yakunina &amp; Bychkov, 2015)"},"properties":{"noteIndex":0},"schema":"https://github.com/citation-style-language/schema/raw/master/csl-citation.json"}</w:instrText>
      </w:r>
      <w:r w:rsidR="00EA744B">
        <w:fldChar w:fldCharType="separate"/>
      </w:r>
      <w:r w:rsidR="00EA744B" w:rsidRPr="00F67E48">
        <w:rPr>
          <w:noProof/>
        </w:rPr>
        <w:t>Yakunina &amp; Bychkov, 2015</w:t>
      </w:r>
      <w:r w:rsidR="00EA744B">
        <w:fldChar w:fldCharType="end"/>
      </w:r>
      <w:r w:rsidRPr="00084153">
        <w:t xml:space="preserve"> concerning the correlation of components of the human development index across countries which state that income has a positive and significant effect on human development. Research by </w:t>
      </w:r>
      <w:r w:rsidR="00EA744B" w:rsidRPr="00090FAD">
        <w:fldChar w:fldCharType="begin" w:fldLock="1"/>
      </w:r>
      <w:r w:rsidR="00EA744B" w:rsidRPr="00090FAD">
        <w:instrText>ADDIN CSL_CITATION {"citationItems":[{"id":"ITEM-1","itemData":{"DOI":"10.4324/9781315241951-37","ISBN":"9781351896603","abstract":"I. FUTURE PROSPECTS AND PRESENT LIVES\"It is justice, not charity, that is wanting in the world,\" wrote Mary Wollstonecraft, the pioneering feminist, in A Vindication of the Rights of Woman, published in 1792, the same year in which her friend Thomas Paine published the second part of the Rights of Man. Both were concerned with giving everyone women and men-power over their own lives and opportunities to live the way they had reasons to value. One particular feature of their common approach is particularly worth emphasizing in the context of policy discussions today, viz. the implicit \"universalism\" that characterizes both the approaches. The domain of concern is not arbitrarily restricted to, say, men, or men of a certain class or background. This shared aspect of the original contributors to the human rights approach is of specific interest in interpreting the task of \"human development\" in a world that is marked, on the one hand, by enormous inequities in contemporary living conditions, and on the other, by real threats to the prospects of human life in the future.","author":[{"dropping-particle":"","family":"Anand","given":"Sudhir","non-dropping-particle":"","parse-names":false,"suffix":""},{"dropping-particle":"","family":"Sen","given":"Amartya","non-dropping-particle":"","parse-names":false,"suffix":""}],"container-title":"Sustainability","id":"ITEM-1","issue":"12","issued":{"date-parts":[["2017"]]},"page":"2029-2049","title":"Human development and economic sustainability","type":"article-journal","volume":"28"},"uris":["http://www.mendeley.com/documents/?uuid=9d245c94-033b-45e2-9475-7e9dc407907d"]}],"mendeley":{"formattedCitation":"(Anand &amp; Sen, 2017)","manualFormatting":"Anand &amp; Sen, 2017","plainTextFormattedCitation":"(Anand &amp; Sen, 2017)","previouslyFormattedCitation":"(Anand &amp; Sen, 2017)"},"properties":{"noteIndex":0},"schema":"https://github.com/citation-style-language/schema/raw/master/csl-citation.json"}</w:instrText>
      </w:r>
      <w:r w:rsidR="00EA744B" w:rsidRPr="00090FAD">
        <w:fldChar w:fldCharType="separate"/>
      </w:r>
      <w:r w:rsidR="00EA744B" w:rsidRPr="00090FAD">
        <w:rPr>
          <w:noProof/>
        </w:rPr>
        <w:t>Anand &amp; Sen, 2017</w:t>
      </w:r>
      <w:r w:rsidR="00EA744B" w:rsidRPr="00090FAD">
        <w:fldChar w:fldCharType="end"/>
      </w:r>
      <w:r w:rsidR="00EA744B" w:rsidRPr="00090FAD">
        <w:t xml:space="preserve">dan </w:t>
      </w:r>
      <w:r w:rsidR="00EA744B" w:rsidRPr="00090FAD">
        <w:fldChar w:fldCharType="begin" w:fldLock="1"/>
      </w:r>
      <w:r w:rsidR="00EA744B">
        <w:instrText>ADDIN CSL_CITATION {"citationItems":[{"id":"ITEM-1","itemData":{"DOI":"10.1016/j.resconrec.2020.104686","ISSN":"18790658","abstract":"This paper aims to re-conceptualise and advance the existing frameworks and practical applications of the circular economy (CE) towards a broader approach to development in general and, more particularly, to combine it with the approach for Human Development (HD). The CE is an alternative to the current \"take, make, waste” extractive industrial model and offers a practical solution to address global and local environmental challenges, such as resource depletion, marine plastic pollution, and for staying within planetary system boundaries. Although the CE and related concepts such as cradle to cradle provide a most promising alternative to the traditional linear economy model and its impacts on the planets eco-systems, some of the CE key elements have raised debate both in the academic community and among policy makers. One of the debates concerns the missing social or human dimensions of the CE. Likewise, the HD approach lacks considerations of environmental sustainability. Drawing on both academic and grey literature and the authorsö research observations and professional experiences in the fields of promoting the CE and international development cooperation for HD, we attempt to develop an integrative conceptual framework of the CE and HD. This framework includes social-economic elements of the transformation from linear to circular economic models, combined with HD from the social sciences and development studies. We thereby complement the technological-material focused CE model that is primarily based on principles of industrial ecology and engineering. We utilize the existing ‘circular humansphereö concept to articulate the incorporation of HD into the discussion of CE. By bringing in explicit links with HD, we pursue a double aim: First, to raise awareness and understanding among the CE research community of the missing human dimension in current CE discourse, and second, to familiarise the international development community with the approaches of CE. This will advance the options for adopting CE practices in international development programmes and for the process of implementing the social SDGs concerning HD such as SDG 1, 3, 4, 5, and 10. Finally, we hope that this CE and HD framework can contribute to the resolution of environmental and developmental issues.","author":[{"dropping-particle":"","family":"Schröder","given":"Patrick","non-dropping-particle":"","parse-names":false,"suffix":""},{"dropping-particle":"","family":"Lemille","given":"Alexandre","non-dropping-particle":"","parse-names":false,"suffix":""},{"dropping-particle":"","family":"Desmond","given":"Peter","non-dropping-particle":"","parse-names":false,"suffix":""}],"container-title":"Resources, Conservation and Recycling","id":"ITEM-1","issued":{"date-parts":[["2020"]]},"page":"1-9","publisher":"Elsevier","title":"Making the circular economy work for human development","type":"article-journal","volume":"156"},"uris":["http://www.mendeley.com/documents/?uuid=0a25d1e1-1f65-4ed8-8c0b-9cb9bd55825f"]}],"mendeley":{"formattedCitation":"(Schröder et al., 2020)","manualFormatting":"Schröder et al., 2020","plainTextFormattedCitation":"(Schröder et al., 2020)","previouslyFormattedCitation":"(Schröder et al., 2020)"},"properties":{"noteIndex":0},"schema":"https://github.com/citation-style-language/schema/raw/master/csl-citation.json"}</w:instrText>
      </w:r>
      <w:r w:rsidR="00EA744B" w:rsidRPr="00090FAD">
        <w:fldChar w:fldCharType="separate"/>
      </w:r>
      <w:r w:rsidR="00EA744B" w:rsidRPr="00090FAD">
        <w:rPr>
          <w:noProof/>
        </w:rPr>
        <w:t>Schröder et al., 2020</w:t>
      </w:r>
      <w:r w:rsidR="00EA744B" w:rsidRPr="00090FAD">
        <w:fldChar w:fldCharType="end"/>
      </w:r>
      <w:r w:rsidR="00EA744B">
        <w:t xml:space="preserve"> </w:t>
      </w:r>
      <w:r w:rsidRPr="00084153">
        <w:t>on the sustainability of human and economic development states that income and consumption per capita and indicators of quality of life or HDI are positively related in various countries. The economy both income and expenditure per capita contribute constantly to generate resources that can be directed towards improving social services.</w:t>
      </w:r>
      <w:r w:rsidR="00EA744B">
        <w:t xml:space="preserve"> </w:t>
      </w:r>
    </w:p>
    <w:p w14:paraId="039A598A" w14:textId="4FE59B09" w:rsidR="00BF61EF" w:rsidRPr="00622F46" w:rsidRDefault="00084153" w:rsidP="000801F4">
      <w:pPr>
        <w:pStyle w:val="BodyText"/>
        <w:ind w:firstLine="426"/>
        <w:jc w:val="both"/>
        <w:rPr>
          <w:rFonts w:ascii="Calibri" w:hAnsi="Calibri" w:cs="Calibri"/>
          <w:sz w:val="22"/>
        </w:rPr>
      </w:pPr>
      <w:r w:rsidRPr="00EA744B">
        <w:rPr>
          <w:rFonts w:ascii="Calibri" w:hAnsi="Calibri" w:cs="Calibri"/>
          <w:sz w:val="22"/>
        </w:rPr>
        <w:t xml:space="preserve">The concept of per capita expenditure which describes the income of the people of a region. High per capita expenditure shows economic activity of economic growth so as to describe the fulfillment of production, distribution and consumption needs that move quickly and significantly. The greater the expenditure, the greater the individual's ability to meet their needs, both food and clothing needs or non-economic needs such as health, education, and social needs </w:t>
      </w:r>
      <w:r w:rsidR="00EA744B" w:rsidRPr="00EA744B">
        <w:rPr>
          <w:rFonts w:ascii="Calibri" w:hAnsi="Calibri" w:cs="Calibri"/>
          <w:sz w:val="22"/>
        </w:rPr>
        <w:fldChar w:fldCharType="begin" w:fldLock="1"/>
      </w:r>
      <w:r w:rsidR="00EA744B" w:rsidRPr="00EA744B">
        <w:rPr>
          <w:rFonts w:ascii="Calibri" w:hAnsi="Calibri" w:cs="Calibri"/>
          <w:sz w:val="22"/>
        </w:rPr>
        <w:instrText>ADDIN CSL_CITATION {"citationItems":[{"id":"ITEM-1","itemData":{"DOI":"10.1016/j.fbp.2019.06.007","ISSN":"09603085","abstract":"Most disenfranchised populations live and work in rural areas under poverty and with limited access to basic resources as energy, water and food supply. Individuals and families in rural areas face difficult odds that often result in inequality and disenfranchisement. They are more likely than their urban counterparts to suffer from the consequences of poverty, facing huge problems associated with undernourishment that mostly end in human casualties. The Human Development Index (HDI) helps to identify healthy life criteria and a decent standard of living that is closely related to quality of life. Several strategies have been reported to improve the living conditions in disenfranchised communities around the world. However, there is not an integrated approach to reducing poverty and ensuring sustainable use of the environment and natural resources in these communities, accounting for the water–energy–food nexus to improve the HDI. Therefore, this paper presents a new optimization approach accounting for the water–energy–food nexus in order to increase the HDI in disenfranchised communities by simultaneously considering economic, environmental and social sustainability criteria. A case study taking into account fourteen of the municipalities of the State of Michoacán from Mexico with the lowest HDI was considered to apply the proposed approach. The results show that by the implementation of this integrated approach, it is possible to increase the HDI in such communities by 4.3%, which is higher that results show by Mexico's HDI values in last 17 years of 0.93%, making the model attractive for decisions makers.","author":[{"dropping-particle":"","family":"Martínez-Guido","given":"Sergio Iván","non-dropping-particle":"","parse-names":false,"suffix":""},{"dropping-particle":"","family":"González-Campos","given":"J. Betzabe","non-dropping-particle":"","parse-names":false,"suffix":""},{"dropping-particle":"","family":"Ponce-Ortega","given":"José María","non-dropping-particle":"","parse-names":false,"suffix":""}],"container-title":"Food and Bioproducts Processing","id":"ITEM-1","issued":{"date-parts":[["2019"]]},"page":"14-29","publisher":"Institution of Chemical Engineers","title":"Strategic planning to improve the Human Development Index in disenfranchised communities through satisfying food, water and energy needs","type":"article-journal","volume":"117"},"uris":["http://www.mendeley.com/documents/?uuid=43358af0-86a8-476a-a187-ad27c6ecef12"]}],"mendeley":{"formattedCitation":"(Martínez-Guido, González-Campos, &amp; Ponce-Ortega, 2019)","plainTextFormattedCitation":"(Martínez-Guido, González-Campos, &amp; Ponce-Ortega, 2019)","previouslyFormattedCitation":"(Martínez-Guido, González-Campos, &amp; Ponce-Ortega, 2019)"},"properties":{"noteIndex":0},"schema":"https://github.com/citation-style-language/schema/raw/master/csl-citation.json"}</w:instrText>
      </w:r>
      <w:r w:rsidR="00EA744B" w:rsidRPr="00EA744B">
        <w:rPr>
          <w:rFonts w:ascii="Calibri" w:hAnsi="Calibri" w:cs="Calibri"/>
          <w:sz w:val="22"/>
        </w:rPr>
        <w:fldChar w:fldCharType="separate"/>
      </w:r>
      <w:r w:rsidR="00EA744B" w:rsidRPr="00EA744B">
        <w:rPr>
          <w:rFonts w:ascii="Calibri" w:hAnsi="Calibri" w:cs="Calibri"/>
          <w:noProof/>
          <w:sz w:val="22"/>
        </w:rPr>
        <w:t>(Martínez-Guido, González-Campos, &amp; Ponce-Ortega, 2019)</w:t>
      </w:r>
      <w:r w:rsidR="00EA744B" w:rsidRPr="00EA744B">
        <w:rPr>
          <w:rFonts w:ascii="Calibri" w:hAnsi="Calibri" w:cs="Calibri"/>
          <w:sz w:val="22"/>
        </w:rPr>
        <w:fldChar w:fldCharType="end"/>
      </w:r>
      <w:r w:rsidR="00EA744B" w:rsidRPr="00EA744B">
        <w:rPr>
          <w:rFonts w:ascii="Calibri" w:hAnsi="Calibri" w:cs="Calibri"/>
          <w:sz w:val="22"/>
        </w:rPr>
        <w:t>.</w:t>
      </w:r>
      <w:r w:rsidR="00EA744B">
        <w:rPr>
          <w:rFonts w:ascii="Calibri" w:hAnsi="Calibri" w:cs="Calibri"/>
          <w:sz w:val="22"/>
        </w:rPr>
        <w:t xml:space="preserve"> </w:t>
      </w:r>
      <w:r w:rsidRPr="00EA744B">
        <w:rPr>
          <w:rFonts w:ascii="Calibri" w:hAnsi="Calibri" w:cs="Calibri"/>
          <w:sz w:val="22"/>
        </w:rPr>
        <w:t xml:space="preserve">One of the poverty alleviation strategies is the development of human resources. Improving access to consumption of social services (education, health and nutrition) is an important policy tool in the government's overall strategy to reduce poverty and improve the welfare of the Indonesian population. HDI is a measure of relative human development, if the HDI increases, it means that the welfare of the community also increases, </w:t>
      </w:r>
      <w:r w:rsidRPr="00EA744B">
        <w:rPr>
          <w:rFonts w:ascii="Calibri" w:hAnsi="Calibri" w:cs="Calibri"/>
          <w:sz w:val="22"/>
        </w:rPr>
        <w:lastRenderedPageBreak/>
        <w:t xml:space="preserve">thereby decreasing poverty </w:t>
      </w:r>
      <w:r w:rsidR="00EA744B" w:rsidRPr="00EA744B">
        <w:rPr>
          <w:rFonts w:ascii="Calibri" w:hAnsi="Calibri" w:cs="Calibri"/>
          <w:sz w:val="22"/>
        </w:rPr>
        <w:fldChar w:fldCharType="begin" w:fldLock="1"/>
      </w:r>
      <w:r w:rsidR="00EA744B" w:rsidRPr="00EA744B">
        <w:rPr>
          <w:rFonts w:ascii="Calibri" w:hAnsi="Calibri" w:cs="Calibri"/>
          <w:sz w:val="22"/>
        </w:rPr>
        <w:instrText>ADDIN CSL_CITATION {"citationItems":[{"id":"ITEM-1","itemData":{"author":[{"dropping-particle":"","family":"Fadilah","given":"Nurul","non-dropping-particle":"","parse-names":false,"suffix":""},{"dropping-particle":"","family":"Dwi","given":"Agustin Susyatna","non-dropping-particle":"","parse-names":false,"suffix":""},{"dropping-particle":"","family":"Sukiman","given":"","non-dropping-particle":"","parse-names":false,"suffix":""}],"container-title":"jurnal Pembangunan Ekonomi Wilayah","id":"ITEM-1","issue":"1","issued":{"date-parts":[["2016"]]},"page":"18-26","title":"Analisi Pengaruh Pendapatan Per Kapita, Tingkat Pengangguran, IPM dan Pertumbuhan Penduduk Terhadap Kemiskinan di Jawa Tengah Tahun 2009-2013","type":"article-journal","volume":"11"},"uris":["http://www.mendeley.com/documents/?uuid=07834ff5-e9e4-44e5-8e89-98bf8735a2a5"]}],"mendeley":{"formattedCitation":"(Fadilah, Dwi, &amp; Sukiman, 2016)","plainTextFormattedCitation":"(Fadilah, Dwi, &amp; Sukiman, 2016)","previouslyFormattedCitation":"(Fadilah, Dwi, &amp; Sukiman, 2016)"},"properties":{"noteIndex":0},"schema":"https://github.com/citation-style-language/schema/raw/master/csl-citation.json"}</w:instrText>
      </w:r>
      <w:r w:rsidR="00EA744B" w:rsidRPr="00EA744B">
        <w:rPr>
          <w:rFonts w:ascii="Calibri" w:hAnsi="Calibri" w:cs="Calibri"/>
          <w:sz w:val="22"/>
        </w:rPr>
        <w:fldChar w:fldCharType="separate"/>
      </w:r>
      <w:r w:rsidR="00EA744B" w:rsidRPr="00EA744B">
        <w:rPr>
          <w:rFonts w:ascii="Calibri" w:hAnsi="Calibri" w:cs="Calibri"/>
          <w:noProof/>
          <w:sz w:val="22"/>
        </w:rPr>
        <w:t>(Fadilah, Dwi, &amp; Sukiman, 2016)</w:t>
      </w:r>
      <w:r w:rsidR="00EA744B" w:rsidRPr="00EA744B">
        <w:rPr>
          <w:rFonts w:ascii="Calibri" w:hAnsi="Calibri" w:cs="Calibri"/>
          <w:sz w:val="22"/>
        </w:rPr>
        <w:fldChar w:fldCharType="end"/>
      </w:r>
      <w:r w:rsidR="00EA744B" w:rsidRPr="00EA744B">
        <w:rPr>
          <w:rFonts w:ascii="Calibri" w:hAnsi="Calibri" w:cs="Calibri"/>
          <w:sz w:val="22"/>
        </w:rPr>
        <w:t>.</w:t>
      </w:r>
    </w:p>
    <w:p w14:paraId="5A90EC6E" w14:textId="77777777" w:rsidR="00D2546D" w:rsidRDefault="00957BA3" w:rsidP="00B85149">
      <w:pPr>
        <w:spacing w:before="240" w:after="120" w:line="240" w:lineRule="auto"/>
        <w:rPr>
          <w:b/>
        </w:rPr>
      </w:pPr>
      <w:r>
        <w:rPr>
          <w:b/>
        </w:rPr>
        <w:t>4</w:t>
      </w:r>
      <w:r w:rsidR="00A87924">
        <w:rPr>
          <w:b/>
        </w:rPr>
        <w:t xml:space="preserve">. </w:t>
      </w:r>
      <w:r w:rsidR="002827E8">
        <w:rPr>
          <w:b/>
        </w:rPr>
        <w:t>CONCLUSION</w:t>
      </w:r>
      <w:r w:rsidR="00A030C5">
        <w:rPr>
          <w:b/>
        </w:rPr>
        <w:t>S</w:t>
      </w:r>
    </w:p>
    <w:p w14:paraId="04CB2AFB" w14:textId="77777777" w:rsidR="00622F46" w:rsidRDefault="00622F46" w:rsidP="009A2376">
      <w:pPr>
        <w:spacing w:after="0" w:line="240" w:lineRule="auto"/>
        <w:ind w:firstLine="567"/>
        <w:jc w:val="both"/>
        <w:outlineLvl w:val="0"/>
      </w:pPr>
      <w:r>
        <w:t xml:space="preserve">This study aims to </w:t>
      </w:r>
      <w:r w:rsidR="00D807E6" w:rsidRPr="003F1BFB">
        <w:t xml:space="preserve">study aims to analyze the factors that influence the human development index between regions in Jambi province. </w:t>
      </w:r>
      <w:r>
        <w:t xml:space="preserve"> Factor analysis in this study includes health, education and economic factors. Based on the analysis using panel data, it can be seen that health sector factors with</w:t>
      </w:r>
      <w:r w:rsidR="009A2376">
        <w:t xml:space="preserve"> life expectancy indicators (LE</w:t>
      </w:r>
      <w:r>
        <w:t>) have a positive and significant impact on the human development index (HDI) in Jambi province for the period 2010-2020. Long health manifested by increasing age will affect the total number to generate income so as to provide added value to the development of human development.</w:t>
      </w:r>
    </w:p>
    <w:p w14:paraId="23001AF4" w14:textId="77777777" w:rsidR="00B257C0" w:rsidRDefault="00622F46" w:rsidP="00B257C0">
      <w:pPr>
        <w:spacing w:after="0" w:line="240" w:lineRule="auto"/>
        <w:ind w:firstLine="567"/>
        <w:jc w:val="both"/>
      </w:pPr>
      <w:r>
        <w:t xml:space="preserve">On the education factor, the results of the study show that the indicators of </w:t>
      </w:r>
      <w:r w:rsidR="009A2376">
        <w:t xml:space="preserve">Long-term school </w:t>
      </w:r>
      <w:r w:rsidR="009A2376" w:rsidRPr="00456A37">
        <w:t>expectations</w:t>
      </w:r>
      <w:r w:rsidR="009A2376">
        <w:t xml:space="preserve"> (</w:t>
      </w:r>
      <w:r>
        <w:t>LS</w:t>
      </w:r>
      <w:r w:rsidR="009A2376">
        <w:t>E</w:t>
      </w:r>
      <w:r>
        <w:t>) an</w:t>
      </w:r>
      <w:r w:rsidR="009A2376">
        <w:t>d average length of schooling (A</w:t>
      </w:r>
      <w:r>
        <w:t xml:space="preserve">LS) have a positive and significant influence on </w:t>
      </w:r>
      <w:r w:rsidR="009A2376">
        <w:t>the human development index (HDI</w:t>
      </w:r>
      <w:r>
        <w:t>) in Jambi province for the period 2010-2020. Education is a human investment made by parents in their children in order to grow their potential to be productive in the future. Education is the best balancer that provides a great opportunity to improve a person's standard of living and has a positive impact on the lives of those around him.</w:t>
      </w:r>
    </w:p>
    <w:p w14:paraId="0AC7DB19" w14:textId="7689E416" w:rsidR="009A2376" w:rsidRDefault="00622F46" w:rsidP="00B257C0">
      <w:pPr>
        <w:spacing w:after="0" w:line="240" w:lineRule="auto"/>
        <w:ind w:firstLine="567"/>
        <w:jc w:val="both"/>
      </w:pPr>
      <w:r>
        <w:t>In the economic field, the indicator of expenditure per capita is adjusted to have a positive and significant effect on the human development index (HDI) in Jambi province for the period 2010-2020. High per capita expenditure shows economic activity of economic growth. The greater the expenditure, the greater the individual's ability to meet their needs, both food and clothing needs or non-economic needs such as health, education, and social needs.</w:t>
      </w:r>
    </w:p>
    <w:p w14:paraId="302D00BC" w14:textId="77777777" w:rsidR="00E43EDC" w:rsidRDefault="00E43EDC" w:rsidP="007219C7">
      <w:pPr>
        <w:spacing w:before="240" w:after="120" w:line="240" w:lineRule="auto"/>
        <w:outlineLvl w:val="0"/>
        <w:rPr>
          <w:b/>
        </w:rPr>
      </w:pPr>
      <w:r>
        <w:rPr>
          <w:b/>
        </w:rPr>
        <w:t>REFERENCES</w:t>
      </w:r>
    </w:p>
    <w:p w14:paraId="00C5F9F8" w14:textId="336EC5B2" w:rsidR="00F03BA0" w:rsidRPr="00F03BA0" w:rsidRDefault="00B46A0E" w:rsidP="002F4182">
      <w:pPr>
        <w:autoSpaceDE w:val="0"/>
        <w:autoSpaceDN w:val="0"/>
        <w:adjustRightInd w:val="0"/>
        <w:spacing w:after="0" w:line="240" w:lineRule="auto"/>
        <w:ind w:left="480" w:hanging="480"/>
        <w:jc w:val="both"/>
        <w:rPr>
          <w:noProof/>
          <w:szCs w:val="24"/>
        </w:rPr>
      </w:pPr>
      <w:r>
        <w:fldChar w:fldCharType="begin" w:fldLock="1"/>
      </w:r>
      <w:r>
        <w:instrText xml:space="preserve">ADDIN Mendeley Bibliography CSL_BIBLIOGRAPHY </w:instrText>
      </w:r>
      <w:r>
        <w:fldChar w:fldCharType="separate"/>
      </w:r>
      <w:r w:rsidR="00F03BA0" w:rsidRPr="00F03BA0">
        <w:rPr>
          <w:noProof/>
          <w:szCs w:val="24"/>
        </w:rPr>
        <w:t xml:space="preserve">Anand, S., &amp; Sen, A. (2017). Human development and economic sustainability. </w:t>
      </w:r>
      <w:r w:rsidR="00F03BA0" w:rsidRPr="00F03BA0">
        <w:rPr>
          <w:i/>
          <w:iCs/>
          <w:noProof/>
          <w:szCs w:val="24"/>
        </w:rPr>
        <w:t>Sustainability</w:t>
      </w:r>
      <w:r w:rsidR="00F03BA0" w:rsidRPr="00F03BA0">
        <w:rPr>
          <w:noProof/>
          <w:szCs w:val="24"/>
        </w:rPr>
        <w:t xml:space="preserve">, </w:t>
      </w:r>
      <w:r w:rsidR="00F03BA0" w:rsidRPr="00F03BA0">
        <w:rPr>
          <w:i/>
          <w:iCs/>
          <w:noProof/>
          <w:szCs w:val="24"/>
        </w:rPr>
        <w:t>28</w:t>
      </w:r>
      <w:r w:rsidR="00F03BA0" w:rsidRPr="00F03BA0">
        <w:rPr>
          <w:noProof/>
          <w:szCs w:val="24"/>
        </w:rPr>
        <w:t>(12), 2029–2049. https://doi.org/10.4324/9781315241951-37</w:t>
      </w:r>
    </w:p>
    <w:p w14:paraId="46134E60"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Bagolin, I. P., &amp; Comim, F. V. (2008). Human Development Index ( HDI ) and its family of indexes : an evolving critical review. </w:t>
      </w:r>
      <w:r w:rsidRPr="00F03BA0">
        <w:rPr>
          <w:i/>
          <w:iCs/>
          <w:noProof/>
          <w:szCs w:val="24"/>
        </w:rPr>
        <w:t>Revista de Economia</w:t>
      </w:r>
      <w:r w:rsidRPr="00F03BA0">
        <w:rPr>
          <w:noProof/>
          <w:szCs w:val="24"/>
        </w:rPr>
        <w:t xml:space="preserve">, </w:t>
      </w:r>
      <w:r w:rsidRPr="00F03BA0">
        <w:rPr>
          <w:i/>
          <w:iCs/>
          <w:noProof/>
          <w:szCs w:val="24"/>
        </w:rPr>
        <w:t>34</w:t>
      </w:r>
      <w:r w:rsidRPr="00F03BA0">
        <w:rPr>
          <w:noProof/>
          <w:szCs w:val="24"/>
        </w:rPr>
        <w:t>(2), 7–28. Retrieved from http://ojs.c3sl.ufpr.br/ojs-2.2.4/index.php/economia/article/view/12293/8511</w:t>
      </w:r>
    </w:p>
    <w:p w14:paraId="6DB283F4"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Baltagi, B. H. (2005). </w:t>
      </w:r>
      <w:r w:rsidRPr="00F03BA0">
        <w:rPr>
          <w:i/>
          <w:iCs/>
          <w:noProof/>
          <w:szCs w:val="24"/>
        </w:rPr>
        <w:t>Econometric Analysis of Panel Data</w:t>
      </w:r>
      <w:r w:rsidRPr="00F03BA0">
        <w:rPr>
          <w:noProof/>
          <w:szCs w:val="24"/>
        </w:rPr>
        <w:t xml:space="preserve"> (3rd ed.). United Stated of America: John Wilwy &amp; Sons, Ltc.</w:t>
      </w:r>
    </w:p>
    <w:p w14:paraId="747D0D17"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Barro, R. J. (2007). Economic growth in a cross section of countries. </w:t>
      </w:r>
      <w:r w:rsidRPr="00F03BA0">
        <w:rPr>
          <w:i/>
          <w:iCs/>
          <w:noProof/>
          <w:szCs w:val="24"/>
        </w:rPr>
        <w:t>Quarterly Journal of Economics</w:t>
      </w:r>
      <w:r w:rsidRPr="00F03BA0">
        <w:rPr>
          <w:noProof/>
          <w:szCs w:val="24"/>
        </w:rPr>
        <w:t xml:space="preserve">, </w:t>
      </w:r>
      <w:r w:rsidRPr="00F03BA0">
        <w:rPr>
          <w:i/>
          <w:iCs/>
          <w:noProof/>
          <w:szCs w:val="24"/>
        </w:rPr>
        <w:t>106</w:t>
      </w:r>
      <w:r w:rsidRPr="00F03BA0">
        <w:rPr>
          <w:noProof/>
          <w:szCs w:val="24"/>
        </w:rPr>
        <w:t>(2), 407–443. https://doi.org/10.2307/2937943</w:t>
      </w:r>
    </w:p>
    <w:p w14:paraId="7C6C2975"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Bhakti, N. A., Istiqomah, I., &amp; Suprapto, S. (2014). Analisis Faktor-Faktor Yang Mempengaruhi Indeks Pembangunan Manusia Di Indonesia Periode 2008-2012. </w:t>
      </w:r>
      <w:r w:rsidRPr="00F03BA0">
        <w:rPr>
          <w:i/>
          <w:iCs/>
          <w:noProof/>
          <w:szCs w:val="24"/>
        </w:rPr>
        <w:t>EKUITAS (Jurnal Ekonomi Dan Keuangan)</w:t>
      </w:r>
      <w:r w:rsidRPr="00F03BA0">
        <w:rPr>
          <w:noProof/>
          <w:szCs w:val="24"/>
        </w:rPr>
        <w:t xml:space="preserve">, </w:t>
      </w:r>
      <w:r w:rsidRPr="00F03BA0">
        <w:rPr>
          <w:i/>
          <w:iCs/>
          <w:noProof/>
          <w:szCs w:val="24"/>
        </w:rPr>
        <w:t>18</w:t>
      </w:r>
      <w:r w:rsidRPr="00F03BA0">
        <w:rPr>
          <w:noProof/>
          <w:szCs w:val="24"/>
        </w:rPr>
        <w:t>(4), 452–469. https://doi.org/10.24034/j25485024.y2014.v18.i4.2162</w:t>
      </w:r>
    </w:p>
    <w:p w14:paraId="5C7F6251"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BPS. (2018). </w:t>
      </w:r>
      <w:r w:rsidRPr="00F03BA0">
        <w:rPr>
          <w:i/>
          <w:iCs/>
          <w:noProof/>
          <w:szCs w:val="24"/>
        </w:rPr>
        <w:t>Indeks Pembangunan Manusia 2017</w:t>
      </w:r>
      <w:r w:rsidRPr="00F03BA0">
        <w:rPr>
          <w:noProof/>
          <w:szCs w:val="24"/>
        </w:rPr>
        <w:t>. Jakarta: Badan Pusat Statistik.</w:t>
      </w:r>
    </w:p>
    <w:p w14:paraId="1DEB9E29"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BPS. (2020). Indeks Pembangunan Manusia Menurut Provinsi 2010-2019. Retrieved May 5, 2021, from https://www.bps.go.id/dynamictable/2020/02/18/1772/indeks-pembangunan-manusia-menurut-provinsi-metode-baru-2010-2019.html</w:t>
      </w:r>
    </w:p>
    <w:p w14:paraId="731F5179"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BPS. (2021, November 15). Indeks Pembangunan Manusia ( IPM ) Tahun 2021. </w:t>
      </w:r>
      <w:r w:rsidRPr="00F03BA0">
        <w:rPr>
          <w:i/>
          <w:iCs/>
          <w:noProof/>
          <w:szCs w:val="24"/>
        </w:rPr>
        <w:t>Berita Resmi Statistik</w:t>
      </w:r>
      <w:r w:rsidRPr="00F03BA0">
        <w:rPr>
          <w:noProof/>
          <w:szCs w:val="24"/>
        </w:rPr>
        <w:t>, pp. 1–8.</w:t>
      </w:r>
    </w:p>
    <w:p w14:paraId="13859335"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BPS Provinsi Jambi. (2020a). </w:t>
      </w:r>
      <w:r w:rsidRPr="00F03BA0">
        <w:rPr>
          <w:i/>
          <w:iCs/>
          <w:noProof/>
          <w:szCs w:val="24"/>
        </w:rPr>
        <w:t>Indeks pembangunan manusia provinsi Jambi 2020</w:t>
      </w:r>
      <w:r w:rsidRPr="00F03BA0">
        <w:rPr>
          <w:noProof/>
          <w:szCs w:val="24"/>
        </w:rPr>
        <w:t>. Jambi: Badan Pusat Statistik Provinsi Jambi.</w:t>
      </w:r>
    </w:p>
    <w:p w14:paraId="066D22A9"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BPS Provinsi Jambi. (2020b). </w:t>
      </w:r>
      <w:r w:rsidRPr="00F03BA0">
        <w:rPr>
          <w:i/>
          <w:iCs/>
          <w:noProof/>
          <w:szCs w:val="24"/>
        </w:rPr>
        <w:t>Provinsi Jambi Dalam Angka 2020</w:t>
      </w:r>
      <w:r w:rsidRPr="00F03BA0">
        <w:rPr>
          <w:noProof/>
          <w:szCs w:val="24"/>
        </w:rPr>
        <w:t>. Jambi: Badan Pusat Statistik Provinsi Jambi.</w:t>
      </w:r>
    </w:p>
    <w:p w14:paraId="23D76F09"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Cedefop. (2011). European Center for The Development of Vocational Training. Annual Report 2010. In </w:t>
      </w:r>
      <w:r w:rsidRPr="00F03BA0">
        <w:rPr>
          <w:i/>
          <w:iCs/>
          <w:noProof/>
          <w:szCs w:val="24"/>
        </w:rPr>
        <w:t>EPPO Bulletin</w:t>
      </w:r>
      <w:r w:rsidRPr="00F03BA0">
        <w:rPr>
          <w:noProof/>
          <w:szCs w:val="24"/>
        </w:rPr>
        <w:t xml:space="preserve"> (Vol. 41). Luxembourg: Publications Office of the European Union.</w:t>
      </w:r>
    </w:p>
    <w:p w14:paraId="1ACB643E"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Chiappero-Martinentti, E., Jacobi, N. Von, &amp; Signorelli, M. (2015). Human Development and Economic Growth. </w:t>
      </w:r>
      <w:r w:rsidRPr="00F03BA0">
        <w:rPr>
          <w:i/>
          <w:iCs/>
          <w:noProof/>
          <w:szCs w:val="24"/>
        </w:rPr>
        <w:t>Palgrave Dictionary of Emerging Markets and Transition Economics</w:t>
      </w:r>
      <w:r w:rsidRPr="00F03BA0">
        <w:rPr>
          <w:noProof/>
          <w:szCs w:val="24"/>
        </w:rPr>
        <w:t>, 223–243. https://doi.org/10.1016/j.ecolecon.2007.05.011</w:t>
      </w:r>
    </w:p>
    <w:p w14:paraId="07D16C4E"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Citrawan, I. W. (2018). Education sector optimization for improving human development index. </w:t>
      </w:r>
      <w:r w:rsidRPr="00F03BA0">
        <w:rPr>
          <w:i/>
          <w:iCs/>
          <w:noProof/>
          <w:szCs w:val="24"/>
        </w:rPr>
        <w:t>International Journal of Social Sciences and Humanities (IJSSH)</w:t>
      </w:r>
      <w:r w:rsidRPr="00F03BA0">
        <w:rPr>
          <w:noProof/>
          <w:szCs w:val="24"/>
        </w:rPr>
        <w:t xml:space="preserve">, </w:t>
      </w:r>
      <w:r w:rsidRPr="00F03BA0">
        <w:rPr>
          <w:i/>
          <w:iCs/>
          <w:noProof/>
          <w:szCs w:val="24"/>
        </w:rPr>
        <w:t>2</w:t>
      </w:r>
      <w:r w:rsidRPr="00F03BA0">
        <w:rPr>
          <w:noProof/>
          <w:szCs w:val="24"/>
        </w:rPr>
        <w:t xml:space="preserve">(1), 117–133. </w:t>
      </w:r>
      <w:r w:rsidRPr="00F03BA0">
        <w:rPr>
          <w:noProof/>
          <w:szCs w:val="24"/>
        </w:rPr>
        <w:lastRenderedPageBreak/>
        <w:t>https://doi.org/10.29332/ijssh.v2n1.102</w:t>
      </w:r>
    </w:p>
    <w:p w14:paraId="08348E48"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Fadilah, N., Dwi, A. S., &amp; Sukiman. (2016). Analisi Pengaruh Pendapatan Per Kapita, Tingkat Pengangguran, IPM dan Pertumbuhan Penduduk Terhadap Kemiskinan di Jawa Tengah Tahun 2009-2013. </w:t>
      </w:r>
      <w:r w:rsidRPr="00F03BA0">
        <w:rPr>
          <w:i/>
          <w:iCs/>
          <w:noProof/>
          <w:szCs w:val="24"/>
        </w:rPr>
        <w:t>Jurnal Pembangunan Ekonomi Wilayah</w:t>
      </w:r>
      <w:r w:rsidRPr="00F03BA0">
        <w:rPr>
          <w:noProof/>
          <w:szCs w:val="24"/>
        </w:rPr>
        <w:t xml:space="preserve">, </w:t>
      </w:r>
      <w:r w:rsidRPr="00F03BA0">
        <w:rPr>
          <w:i/>
          <w:iCs/>
          <w:noProof/>
          <w:szCs w:val="24"/>
        </w:rPr>
        <w:t>11</w:t>
      </w:r>
      <w:r w:rsidRPr="00F03BA0">
        <w:rPr>
          <w:noProof/>
          <w:szCs w:val="24"/>
        </w:rPr>
        <w:t>(1), 18–26.</w:t>
      </w:r>
    </w:p>
    <w:p w14:paraId="63431E7F"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Fajar, C. M., &amp; Mulyanti, D. (2019). Meningkatkan Taraf Perekonomian dan Kesejahteraan Melalui Perencanaan Investasi Pendidikan. </w:t>
      </w:r>
      <w:r w:rsidRPr="00F03BA0">
        <w:rPr>
          <w:i/>
          <w:iCs/>
          <w:noProof/>
          <w:szCs w:val="24"/>
        </w:rPr>
        <w:t>Jurnal Abdimas BSI</w:t>
      </w:r>
      <w:r w:rsidRPr="00F03BA0">
        <w:rPr>
          <w:noProof/>
          <w:szCs w:val="24"/>
        </w:rPr>
        <w:t xml:space="preserve">, </w:t>
      </w:r>
      <w:r w:rsidRPr="00F03BA0">
        <w:rPr>
          <w:i/>
          <w:iCs/>
          <w:noProof/>
          <w:szCs w:val="24"/>
        </w:rPr>
        <w:t>2</w:t>
      </w:r>
      <w:r w:rsidRPr="00F03BA0">
        <w:rPr>
          <w:noProof/>
          <w:szCs w:val="24"/>
        </w:rPr>
        <w:t>(1), 89–95. Retrieved from http://ejournal.bsi.ac.id/ejurnal/index.php/abdimas</w:t>
      </w:r>
    </w:p>
    <w:p w14:paraId="20F5CCC6"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Fauzan, M., Nusantara, A., Nawatmi, S., &amp; Santosa, B. (2020). Indeks Pembangunan Manusia dan Pendidikan di Jawa Tengah. </w:t>
      </w:r>
      <w:r w:rsidRPr="00F03BA0">
        <w:rPr>
          <w:i/>
          <w:iCs/>
          <w:noProof/>
          <w:szCs w:val="24"/>
        </w:rPr>
        <w:t>Jurnal Bisnis Dan Ekonomi</w:t>
      </w:r>
      <w:r w:rsidRPr="00F03BA0">
        <w:rPr>
          <w:noProof/>
          <w:szCs w:val="24"/>
        </w:rPr>
        <w:t xml:space="preserve">, </w:t>
      </w:r>
      <w:r w:rsidRPr="00F03BA0">
        <w:rPr>
          <w:i/>
          <w:iCs/>
          <w:noProof/>
          <w:szCs w:val="24"/>
        </w:rPr>
        <w:t>27</w:t>
      </w:r>
      <w:r w:rsidRPr="00F03BA0">
        <w:rPr>
          <w:noProof/>
          <w:szCs w:val="24"/>
        </w:rPr>
        <w:t>(1), 55–64.</w:t>
      </w:r>
    </w:p>
    <w:p w14:paraId="10BD8B38"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Firdaus, M., &amp; Irawan, T. (2009). </w:t>
      </w:r>
      <w:r w:rsidRPr="00F03BA0">
        <w:rPr>
          <w:i/>
          <w:iCs/>
          <w:noProof/>
          <w:szCs w:val="24"/>
        </w:rPr>
        <w:t>Modul I Ekonometrika Untuk Data Panel (Aplikasi Eviews Dan Stata)</w:t>
      </w:r>
      <w:r w:rsidRPr="00F03BA0">
        <w:rPr>
          <w:noProof/>
          <w:szCs w:val="24"/>
        </w:rPr>
        <w:t>. Malang: Universitas Brawijaya.</w:t>
      </w:r>
    </w:p>
    <w:p w14:paraId="52929B2A"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Fukuda-Parr, S., &amp; Muchhala, B. (2020). The Southern origins of sustainable development goals: Ideas, actors, aspirations. </w:t>
      </w:r>
      <w:r w:rsidRPr="00F03BA0">
        <w:rPr>
          <w:i/>
          <w:iCs/>
          <w:noProof/>
          <w:szCs w:val="24"/>
        </w:rPr>
        <w:t>World Development</w:t>
      </w:r>
      <w:r w:rsidRPr="00F03BA0">
        <w:rPr>
          <w:noProof/>
          <w:szCs w:val="24"/>
        </w:rPr>
        <w:t xml:space="preserve">, </w:t>
      </w:r>
      <w:r w:rsidRPr="00F03BA0">
        <w:rPr>
          <w:i/>
          <w:iCs/>
          <w:noProof/>
          <w:szCs w:val="24"/>
        </w:rPr>
        <w:t>126</w:t>
      </w:r>
      <w:r w:rsidRPr="00F03BA0">
        <w:rPr>
          <w:noProof/>
          <w:szCs w:val="24"/>
        </w:rPr>
        <w:t>(104706), 1–11. https://doi.org/10.1016/j.worlddev.2019.104706</w:t>
      </w:r>
    </w:p>
    <w:p w14:paraId="5D578075"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Girum, T., Muktar, E., &amp; Shegaze, M. (2018). Determinants of life expectancy in low and medium human development index countries. </w:t>
      </w:r>
      <w:r w:rsidRPr="00F03BA0">
        <w:rPr>
          <w:i/>
          <w:iCs/>
          <w:noProof/>
          <w:szCs w:val="24"/>
        </w:rPr>
        <w:t>Medical Studies</w:t>
      </w:r>
      <w:r w:rsidRPr="00F03BA0">
        <w:rPr>
          <w:noProof/>
          <w:szCs w:val="24"/>
        </w:rPr>
        <w:t xml:space="preserve">, </w:t>
      </w:r>
      <w:r w:rsidRPr="00F03BA0">
        <w:rPr>
          <w:i/>
          <w:iCs/>
          <w:noProof/>
          <w:szCs w:val="24"/>
        </w:rPr>
        <w:t>34</w:t>
      </w:r>
      <w:r w:rsidRPr="00F03BA0">
        <w:rPr>
          <w:noProof/>
          <w:szCs w:val="24"/>
        </w:rPr>
        <w:t>(3), 218–225. https://doi.org/10.5114/ms.2018.78685</w:t>
      </w:r>
    </w:p>
    <w:p w14:paraId="00E7FF6B"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Green, F., &amp; McIntosh, S. (2007). Is there a genuine under-utilization of skills amongst the over-qualified? </w:t>
      </w:r>
      <w:r w:rsidRPr="00F03BA0">
        <w:rPr>
          <w:i/>
          <w:iCs/>
          <w:noProof/>
          <w:szCs w:val="24"/>
        </w:rPr>
        <w:t>Applied Economics</w:t>
      </w:r>
      <w:r w:rsidRPr="00F03BA0">
        <w:rPr>
          <w:noProof/>
          <w:szCs w:val="24"/>
        </w:rPr>
        <w:t xml:space="preserve">, </w:t>
      </w:r>
      <w:r w:rsidRPr="00F03BA0">
        <w:rPr>
          <w:i/>
          <w:iCs/>
          <w:noProof/>
          <w:szCs w:val="24"/>
        </w:rPr>
        <w:t>39</w:t>
      </w:r>
      <w:r w:rsidRPr="00F03BA0">
        <w:rPr>
          <w:noProof/>
          <w:szCs w:val="24"/>
        </w:rPr>
        <w:t>(4), 427–439. https://doi.org/10.1080/00036840500427700</w:t>
      </w:r>
    </w:p>
    <w:p w14:paraId="5F3E6976"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Greene, W. H. (2003). </w:t>
      </w:r>
      <w:r w:rsidRPr="00F03BA0">
        <w:rPr>
          <w:i/>
          <w:iCs/>
          <w:noProof/>
          <w:szCs w:val="24"/>
        </w:rPr>
        <w:t>Econometric Analysis 4th Ed.</w:t>
      </w:r>
      <w:r w:rsidRPr="00F03BA0">
        <w:rPr>
          <w:noProof/>
          <w:szCs w:val="24"/>
        </w:rPr>
        <w:t xml:space="preserve"> New Jersey: Pearson Education Inc.</w:t>
      </w:r>
    </w:p>
    <w:p w14:paraId="7860B98B"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Gujarati, D. N. (2006). </w:t>
      </w:r>
      <w:r w:rsidRPr="00F03BA0">
        <w:rPr>
          <w:i/>
          <w:iCs/>
          <w:noProof/>
          <w:szCs w:val="24"/>
        </w:rPr>
        <w:t>Dasar-Dasar Ekonometrika Jilid 1 (3rd ed)</w:t>
      </w:r>
      <w:r w:rsidRPr="00F03BA0">
        <w:rPr>
          <w:noProof/>
          <w:szCs w:val="24"/>
        </w:rPr>
        <w:t>. Jakarta: Erlangga.</w:t>
      </w:r>
    </w:p>
    <w:p w14:paraId="31BB0175"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Handayani, N. S., Bendesa, I. K. ., &amp; Yuliarmi, N. N. (2016). Pengaruh Jumlah Penduduk, Angka Harapan Hidup, Rata-raa Lama Sekolah dan PDRB Per Kapita Terhadap Pertumbuhan Ekonmi di Provinsi Bali. </w:t>
      </w:r>
      <w:r w:rsidRPr="00F03BA0">
        <w:rPr>
          <w:i/>
          <w:iCs/>
          <w:noProof/>
          <w:szCs w:val="24"/>
        </w:rPr>
        <w:t>Jurnal Ekonomi Dan Bisnis Universitas Udayana</w:t>
      </w:r>
      <w:r w:rsidRPr="00F03BA0">
        <w:rPr>
          <w:noProof/>
          <w:szCs w:val="24"/>
        </w:rPr>
        <w:t xml:space="preserve">, </w:t>
      </w:r>
      <w:r w:rsidRPr="00F03BA0">
        <w:rPr>
          <w:i/>
          <w:iCs/>
          <w:noProof/>
          <w:szCs w:val="24"/>
        </w:rPr>
        <w:t>5</w:t>
      </w:r>
      <w:r w:rsidRPr="00F03BA0">
        <w:rPr>
          <w:noProof/>
          <w:szCs w:val="24"/>
        </w:rPr>
        <w:t>(10), 3449–3474.</w:t>
      </w:r>
    </w:p>
    <w:p w14:paraId="6E33B7FF"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Hanushek, E. A. (2013). Economic growth in developing countries: The role of human capital. </w:t>
      </w:r>
      <w:r w:rsidRPr="00F03BA0">
        <w:rPr>
          <w:i/>
          <w:iCs/>
          <w:noProof/>
          <w:szCs w:val="24"/>
        </w:rPr>
        <w:t>Economics of Education Review</w:t>
      </w:r>
      <w:r w:rsidRPr="00F03BA0">
        <w:rPr>
          <w:noProof/>
          <w:szCs w:val="24"/>
        </w:rPr>
        <w:t xml:space="preserve">, </w:t>
      </w:r>
      <w:r w:rsidRPr="00F03BA0">
        <w:rPr>
          <w:i/>
          <w:iCs/>
          <w:noProof/>
          <w:szCs w:val="24"/>
        </w:rPr>
        <w:t>37</w:t>
      </w:r>
      <w:r w:rsidRPr="00F03BA0">
        <w:rPr>
          <w:noProof/>
          <w:szCs w:val="24"/>
        </w:rPr>
        <w:t>, 204–212. https://doi.org/10.1016/j.econedurev.2013.04.005</w:t>
      </w:r>
    </w:p>
    <w:p w14:paraId="5126B150"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Hanushek, E. A., &amp; Wößmann, L. (2007). The Role of Education Quality in Economic Growth. </w:t>
      </w:r>
      <w:r w:rsidRPr="00F03BA0">
        <w:rPr>
          <w:i/>
          <w:iCs/>
          <w:noProof/>
          <w:szCs w:val="24"/>
        </w:rPr>
        <w:t>Economics of Education Review,</w:t>
      </w:r>
      <w:r w:rsidRPr="00F03BA0">
        <w:rPr>
          <w:noProof/>
          <w:szCs w:val="24"/>
        </w:rPr>
        <w:t xml:space="preserve"> </w:t>
      </w:r>
      <w:r w:rsidRPr="00F03BA0">
        <w:rPr>
          <w:i/>
          <w:iCs/>
          <w:noProof/>
          <w:szCs w:val="24"/>
        </w:rPr>
        <w:t>37</w:t>
      </w:r>
      <w:r w:rsidRPr="00F03BA0">
        <w:rPr>
          <w:noProof/>
          <w:szCs w:val="24"/>
        </w:rPr>
        <w:t>(2), 1–94.</w:t>
      </w:r>
    </w:p>
    <w:p w14:paraId="546D37AF"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Hill, R. C., Griffith, W. E., &amp; Lim, G. C. (2011). </w:t>
      </w:r>
      <w:r w:rsidRPr="00F03BA0">
        <w:rPr>
          <w:i/>
          <w:iCs/>
          <w:noProof/>
          <w:szCs w:val="24"/>
        </w:rPr>
        <w:t>Principles of Econometrics (4th ed.).</w:t>
      </w:r>
      <w:r w:rsidRPr="00F03BA0">
        <w:rPr>
          <w:noProof/>
          <w:szCs w:val="24"/>
        </w:rPr>
        <w:t xml:space="preserve"> John Wiley &amp; Sons, Inc.</w:t>
      </w:r>
    </w:p>
    <w:p w14:paraId="7CFE0472"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ILO. (2020). Pemantauan ILO : COVID-19 dan Dunia Kerja Estimasi dan Analisis Terbaru. </w:t>
      </w:r>
      <w:r w:rsidRPr="00F03BA0">
        <w:rPr>
          <w:i/>
          <w:iCs/>
          <w:noProof/>
          <w:szCs w:val="24"/>
        </w:rPr>
        <w:t>International Labour Organization</w:t>
      </w:r>
      <w:r w:rsidRPr="00F03BA0">
        <w:rPr>
          <w:noProof/>
          <w:szCs w:val="24"/>
        </w:rPr>
        <w:t xml:space="preserve">, </w:t>
      </w:r>
      <w:r w:rsidRPr="00F03BA0">
        <w:rPr>
          <w:i/>
          <w:iCs/>
          <w:noProof/>
          <w:szCs w:val="24"/>
        </w:rPr>
        <w:t>4</w:t>
      </w:r>
      <w:r w:rsidRPr="00F03BA0">
        <w:rPr>
          <w:noProof/>
          <w:szCs w:val="24"/>
        </w:rPr>
        <w:t>(April), 1–12.</w:t>
      </w:r>
    </w:p>
    <w:p w14:paraId="37FD7B61"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Javed Burki, S., &amp; Ul Haq, M. (1981). Meeting basic needs: An overview. </w:t>
      </w:r>
      <w:r w:rsidRPr="00F03BA0">
        <w:rPr>
          <w:i/>
          <w:iCs/>
          <w:noProof/>
          <w:szCs w:val="24"/>
        </w:rPr>
        <w:t>World Development</w:t>
      </w:r>
      <w:r w:rsidRPr="00F03BA0">
        <w:rPr>
          <w:noProof/>
          <w:szCs w:val="24"/>
        </w:rPr>
        <w:t xml:space="preserve">, </w:t>
      </w:r>
      <w:r w:rsidRPr="00F03BA0">
        <w:rPr>
          <w:i/>
          <w:iCs/>
          <w:noProof/>
          <w:szCs w:val="24"/>
        </w:rPr>
        <w:t>9</w:t>
      </w:r>
      <w:r w:rsidRPr="00F03BA0">
        <w:rPr>
          <w:noProof/>
          <w:szCs w:val="24"/>
        </w:rPr>
        <w:t>(2), 167–182. https://doi.org/10.1016/0305-750X(81)90011-5</w:t>
      </w:r>
    </w:p>
    <w:p w14:paraId="12731CB8"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Kahar, A. M. (2018). Analisis Angka Harapan Lama Sekolah di Indonesia Timur Menggunakan Weighted Least Squares Regression. </w:t>
      </w:r>
      <w:r w:rsidRPr="00F03BA0">
        <w:rPr>
          <w:i/>
          <w:iCs/>
          <w:noProof/>
          <w:szCs w:val="24"/>
        </w:rPr>
        <w:t>Jurnal Matematika “MANTIK,”</w:t>
      </w:r>
      <w:r w:rsidRPr="00F03BA0">
        <w:rPr>
          <w:noProof/>
          <w:szCs w:val="24"/>
        </w:rPr>
        <w:t xml:space="preserve"> </w:t>
      </w:r>
      <w:r w:rsidRPr="00F03BA0">
        <w:rPr>
          <w:i/>
          <w:iCs/>
          <w:noProof/>
          <w:szCs w:val="24"/>
        </w:rPr>
        <w:t>4</w:t>
      </w:r>
      <w:r w:rsidRPr="00F03BA0">
        <w:rPr>
          <w:noProof/>
          <w:szCs w:val="24"/>
        </w:rPr>
        <w:t>(1), 32–41. https://doi.org/10.15642/mantik.2018.4.1.32-41</w:t>
      </w:r>
    </w:p>
    <w:p w14:paraId="65218892"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Koestoer, R. H., Hasibuan, H. S., Cessna, A. F., Amadira, G., Safrizal, A., &amp; Supriyanto, E. (2016). </w:t>
      </w:r>
      <w:r w:rsidRPr="00F03BA0">
        <w:rPr>
          <w:i/>
          <w:iCs/>
          <w:noProof/>
          <w:szCs w:val="24"/>
        </w:rPr>
        <w:t>Telaah Hubungan Ekonomi dan Pembangunan Manusia dan Kebudayaan (Kumpulan Telaah Aspek Pembangunan Ekonoi, Manusia dan Kebudayaan</w:t>
      </w:r>
      <w:r w:rsidRPr="00F03BA0">
        <w:rPr>
          <w:noProof/>
          <w:szCs w:val="24"/>
        </w:rPr>
        <w:t>. Jakarta: Program Studi Ilmu Lingkungan Sekolah Ilmu Lingkungan Universitas Indonesia Jakarta.</w:t>
      </w:r>
    </w:p>
    <w:p w14:paraId="52813F0D"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Latuconsina, Z. M. Y. (2017). Analisis Faktor-faktor yang Mempengaruhi Indeks Pembangunan Manusia Kabupaten Malang Berbasis Pendekatan Perwilayahan dan Regresi Panel. </w:t>
      </w:r>
      <w:r w:rsidRPr="00F03BA0">
        <w:rPr>
          <w:i/>
          <w:iCs/>
          <w:noProof/>
          <w:szCs w:val="24"/>
        </w:rPr>
        <w:t>Journal of Regional and Rural Development Planning</w:t>
      </w:r>
      <w:r w:rsidRPr="00F03BA0">
        <w:rPr>
          <w:noProof/>
          <w:szCs w:val="24"/>
        </w:rPr>
        <w:t xml:space="preserve">, </w:t>
      </w:r>
      <w:r w:rsidRPr="00F03BA0">
        <w:rPr>
          <w:i/>
          <w:iCs/>
          <w:noProof/>
          <w:szCs w:val="24"/>
        </w:rPr>
        <w:t>1</w:t>
      </w:r>
      <w:r w:rsidRPr="00F03BA0">
        <w:rPr>
          <w:noProof/>
          <w:szCs w:val="24"/>
        </w:rPr>
        <w:t>(2), 202–216. https://doi.org/10.29244/jp2wd.2017.1.2.202-216</w:t>
      </w:r>
    </w:p>
    <w:p w14:paraId="435CB2C9"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Mahroji, D., &amp; Nurkhasanah, I. (2019). Pengaruh Indeks Pembangunan Manusia Terhadap Tingkat Pengangguran di Provinsi Banten. </w:t>
      </w:r>
      <w:r w:rsidRPr="00F03BA0">
        <w:rPr>
          <w:i/>
          <w:iCs/>
          <w:noProof/>
          <w:szCs w:val="24"/>
        </w:rPr>
        <w:t>Jurnal Ilmu Ekonomi</w:t>
      </w:r>
      <w:r w:rsidRPr="00F03BA0">
        <w:rPr>
          <w:noProof/>
          <w:szCs w:val="24"/>
        </w:rPr>
        <w:t xml:space="preserve">, </w:t>
      </w:r>
      <w:r w:rsidRPr="00F03BA0">
        <w:rPr>
          <w:i/>
          <w:iCs/>
          <w:noProof/>
          <w:szCs w:val="24"/>
        </w:rPr>
        <w:t>9</w:t>
      </w:r>
      <w:r w:rsidRPr="00F03BA0">
        <w:rPr>
          <w:noProof/>
          <w:szCs w:val="24"/>
        </w:rPr>
        <w:t>(1), 51–72. https://doi.org/10.35448/jequ.v9i1.5436</w:t>
      </w:r>
    </w:p>
    <w:p w14:paraId="5643936C"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Makki, S. (2021). Angka Pengangguran Muda RI Tertinggi se-Asia Tenggara. Retrieved May 3, 2021, from CNN Indonesia website: https://www.cnnindonesia.com/ekonomi/20210503170819-92-638002/angka-pengangguran-muda-ri-tertinggi-se-asia-tenggara</w:t>
      </w:r>
    </w:p>
    <w:p w14:paraId="797B7E3B"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Martínez-Guido, S. I., González-Campos, J. B., &amp; Ponce-Ortega, J. M. (2019). Strategic planning to </w:t>
      </w:r>
      <w:r w:rsidRPr="00F03BA0">
        <w:rPr>
          <w:noProof/>
          <w:szCs w:val="24"/>
        </w:rPr>
        <w:lastRenderedPageBreak/>
        <w:t xml:space="preserve">improve the Human Development Index in disenfranchised communities through satisfying food, water and energy needs. </w:t>
      </w:r>
      <w:r w:rsidRPr="00F03BA0">
        <w:rPr>
          <w:i/>
          <w:iCs/>
          <w:noProof/>
          <w:szCs w:val="24"/>
        </w:rPr>
        <w:t>Food and Bioproducts Processing</w:t>
      </w:r>
      <w:r w:rsidRPr="00F03BA0">
        <w:rPr>
          <w:noProof/>
          <w:szCs w:val="24"/>
        </w:rPr>
        <w:t xml:space="preserve">, </w:t>
      </w:r>
      <w:r w:rsidRPr="00F03BA0">
        <w:rPr>
          <w:i/>
          <w:iCs/>
          <w:noProof/>
          <w:szCs w:val="24"/>
        </w:rPr>
        <w:t>117</w:t>
      </w:r>
      <w:r w:rsidRPr="00F03BA0">
        <w:rPr>
          <w:noProof/>
          <w:szCs w:val="24"/>
        </w:rPr>
        <w:t>, 14–29. https://doi.org/10.1016/j.fbp.2019.06.007</w:t>
      </w:r>
    </w:p>
    <w:p w14:paraId="11A6A222"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Melliana, A., &amp; Zain, I. (2013). Indeks Pembangunan Manusia di Kabupaten / Kota Provinsi Jawa Timur dengan Menggunakan Regresi Panel. </w:t>
      </w:r>
      <w:r w:rsidRPr="00F03BA0">
        <w:rPr>
          <w:i/>
          <w:iCs/>
          <w:noProof/>
          <w:szCs w:val="24"/>
        </w:rPr>
        <w:t>Jurnal Sains Dan Seni Pomits</w:t>
      </w:r>
      <w:r w:rsidRPr="00F03BA0">
        <w:rPr>
          <w:noProof/>
          <w:szCs w:val="24"/>
        </w:rPr>
        <w:t xml:space="preserve">, </w:t>
      </w:r>
      <w:r w:rsidRPr="00F03BA0">
        <w:rPr>
          <w:i/>
          <w:iCs/>
          <w:noProof/>
          <w:szCs w:val="24"/>
        </w:rPr>
        <w:t>2</w:t>
      </w:r>
      <w:r w:rsidRPr="00F03BA0">
        <w:rPr>
          <w:noProof/>
          <w:szCs w:val="24"/>
        </w:rPr>
        <w:t>(2), 237–242. https://doi.org/10.12962/j23373520.v2i2.4844</w:t>
      </w:r>
    </w:p>
    <w:p w14:paraId="40A6C034"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Pratowo, N. I. (2011). Analisis Faktor-Faktor Yang Berpengaruh Terhadap Indeks Pembangunan Manusia. </w:t>
      </w:r>
      <w:r w:rsidRPr="00F03BA0">
        <w:rPr>
          <w:i/>
          <w:iCs/>
          <w:noProof/>
          <w:szCs w:val="24"/>
        </w:rPr>
        <w:t>Jurnal Studi Ekonomi Indonesia</w:t>
      </w:r>
      <w:r w:rsidRPr="00F03BA0">
        <w:rPr>
          <w:noProof/>
          <w:szCs w:val="24"/>
        </w:rPr>
        <w:t xml:space="preserve">, </w:t>
      </w:r>
      <w:r w:rsidRPr="00F03BA0">
        <w:rPr>
          <w:i/>
          <w:iCs/>
          <w:noProof/>
          <w:szCs w:val="24"/>
        </w:rPr>
        <w:t>1</w:t>
      </w:r>
      <w:r w:rsidRPr="00F03BA0">
        <w:rPr>
          <w:noProof/>
          <w:szCs w:val="24"/>
        </w:rPr>
        <w:t>(1), 15–31. Retrieved from https://core.ac.uk/download/pdf/12346579.pdf</w:t>
      </w:r>
    </w:p>
    <w:p w14:paraId="58285A2A"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Roser, M. (2015). Measuring education: What data is available? Retrieved February 23, 2018, from The Oxford Martin Programme on Global Development website: https://ourworldindata.org/measuring-education-what-data-is-available</w:t>
      </w:r>
    </w:p>
    <w:p w14:paraId="1F17DDD8"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Schröder, P., Lemille, A., &amp; Desmond, P. (2020). Making the circular economy work for human development. </w:t>
      </w:r>
      <w:r w:rsidRPr="00F03BA0">
        <w:rPr>
          <w:i/>
          <w:iCs/>
          <w:noProof/>
          <w:szCs w:val="24"/>
        </w:rPr>
        <w:t>Resources, Conservation and Recycling</w:t>
      </w:r>
      <w:r w:rsidRPr="00F03BA0">
        <w:rPr>
          <w:noProof/>
          <w:szCs w:val="24"/>
        </w:rPr>
        <w:t xml:space="preserve">, </w:t>
      </w:r>
      <w:r w:rsidRPr="00F03BA0">
        <w:rPr>
          <w:i/>
          <w:iCs/>
          <w:noProof/>
          <w:szCs w:val="24"/>
        </w:rPr>
        <w:t>156</w:t>
      </w:r>
      <w:r w:rsidRPr="00F03BA0">
        <w:rPr>
          <w:noProof/>
          <w:szCs w:val="24"/>
        </w:rPr>
        <w:t>, 1–9. https://doi.org/10.1016/j.resconrec.2020.104686</w:t>
      </w:r>
    </w:p>
    <w:p w14:paraId="71A6601D"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Shah, S. (2016). Determinants of Human Development Index: A Cross-Country Empirical Analysis. </w:t>
      </w:r>
      <w:r w:rsidRPr="00F03BA0">
        <w:rPr>
          <w:i/>
          <w:iCs/>
          <w:noProof/>
          <w:szCs w:val="24"/>
        </w:rPr>
        <w:t>International Journal of Economics and Management Studies</w:t>
      </w:r>
      <w:r w:rsidRPr="00F03BA0">
        <w:rPr>
          <w:noProof/>
          <w:szCs w:val="24"/>
        </w:rPr>
        <w:t xml:space="preserve">, </w:t>
      </w:r>
      <w:r w:rsidRPr="00F03BA0">
        <w:rPr>
          <w:i/>
          <w:iCs/>
          <w:noProof/>
          <w:szCs w:val="24"/>
        </w:rPr>
        <w:t>3</w:t>
      </w:r>
      <w:r w:rsidRPr="00F03BA0">
        <w:rPr>
          <w:noProof/>
          <w:szCs w:val="24"/>
        </w:rPr>
        <w:t>(5), 40–43. https://doi.org/10.14445/23939125/ijems-v3i5p106</w:t>
      </w:r>
    </w:p>
    <w:p w14:paraId="16C21EAA"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Sugiyono. (2013). </w:t>
      </w:r>
      <w:r w:rsidRPr="00F03BA0">
        <w:rPr>
          <w:i/>
          <w:iCs/>
          <w:noProof/>
          <w:szCs w:val="24"/>
        </w:rPr>
        <w:t>Metode Penelitian Kuantitatif, Kualitatif, dan R &amp; D</w:t>
      </w:r>
      <w:r w:rsidRPr="00F03BA0">
        <w:rPr>
          <w:noProof/>
          <w:szCs w:val="24"/>
        </w:rPr>
        <w:t>. Bandung: Alfabeta.</w:t>
      </w:r>
    </w:p>
    <w:p w14:paraId="301F296A"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Susilawati, D. (2016). </w:t>
      </w:r>
      <w:r w:rsidRPr="00F03BA0">
        <w:rPr>
          <w:i/>
          <w:iCs/>
          <w:noProof/>
          <w:szCs w:val="24"/>
        </w:rPr>
        <w:t>Promosi Kesehatan (Modul Bahan Ajar Cetak Keerawatan)</w:t>
      </w:r>
      <w:r w:rsidRPr="00F03BA0">
        <w:rPr>
          <w:noProof/>
          <w:szCs w:val="24"/>
        </w:rPr>
        <w:t>. Jakarta: Pusdik SDM Kesehatan.</w:t>
      </w:r>
    </w:p>
    <w:p w14:paraId="36849030"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Teixeira, A. A. C., &amp; Queirós, A. S. S. (2016). Economic growth, human capital and structural change: A dynamic panel data analysis. </w:t>
      </w:r>
      <w:r w:rsidRPr="00F03BA0">
        <w:rPr>
          <w:i/>
          <w:iCs/>
          <w:noProof/>
          <w:szCs w:val="24"/>
        </w:rPr>
        <w:t>Research Policy</w:t>
      </w:r>
      <w:r w:rsidRPr="00F03BA0">
        <w:rPr>
          <w:noProof/>
          <w:szCs w:val="24"/>
        </w:rPr>
        <w:t xml:space="preserve">, </w:t>
      </w:r>
      <w:r w:rsidRPr="00F03BA0">
        <w:rPr>
          <w:i/>
          <w:iCs/>
          <w:noProof/>
          <w:szCs w:val="24"/>
        </w:rPr>
        <w:t>45</w:t>
      </w:r>
      <w:r w:rsidRPr="00F03BA0">
        <w:rPr>
          <w:noProof/>
          <w:szCs w:val="24"/>
        </w:rPr>
        <w:t>(8), 1636–1648. https://doi.org/10.1016/j.respol.2016.04.006</w:t>
      </w:r>
    </w:p>
    <w:p w14:paraId="169C629F"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UNDP. (2020). Latest Human Development Index Ranking | Human Development Reports. Retrieved May 5, 2021, from Human Development Report website: http://hdr.undp.org/en/content/latest-human-development-index-ranking</w:t>
      </w:r>
    </w:p>
    <w:p w14:paraId="088037CB"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Wardani, L. M. I., &amp; Fatimah, S. (2020). Kompetensi Pekerja dan Efeknya Terhadap Work Engagement: Riset pada Pekerja dengan Horizontal Education Mismatch. </w:t>
      </w:r>
      <w:r w:rsidRPr="00F03BA0">
        <w:rPr>
          <w:i/>
          <w:iCs/>
          <w:noProof/>
          <w:szCs w:val="24"/>
        </w:rPr>
        <w:t>Jurnal Psikologi Sosial</w:t>
      </w:r>
      <w:r w:rsidRPr="00F03BA0">
        <w:rPr>
          <w:noProof/>
          <w:szCs w:val="24"/>
        </w:rPr>
        <w:t xml:space="preserve">, </w:t>
      </w:r>
      <w:r w:rsidRPr="00F03BA0">
        <w:rPr>
          <w:i/>
          <w:iCs/>
          <w:noProof/>
          <w:szCs w:val="24"/>
        </w:rPr>
        <w:t>18</w:t>
      </w:r>
      <w:r w:rsidRPr="00F03BA0">
        <w:rPr>
          <w:noProof/>
          <w:szCs w:val="24"/>
        </w:rPr>
        <w:t>(1), 73–85. https://doi.org/10.7454/jps.2020.09</w:t>
      </w:r>
    </w:p>
    <w:p w14:paraId="39E92BE8"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Wibowo, M. G. (2019). Human Capital Relation with Welfare in Indonesia and Asean Countries. </w:t>
      </w:r>
      <w:r w:rsidRPr="00F03BA0">
        <w:rPr>
          <w:i/>
          <w:iCs/>
          <w:noProof/>
          <w:szCs w:val="24"/>
        </w:rPr>
        <w:t>Economics Development Analysis Journal</w:t>
      </w:r>
      <w:r w:rsidRPr="00F03BA0">
        <w:rPr>
          <w:noProof/>
          <w:szCs w:val="24"/>
        </w:rPr>
        <w:t xml:space="preserve">, </w:t>
      </w:r>
      <w:r w:rsidRPr="00F03BA0">
        <w:rPr>
          <w:i/>
          <w:iCs/>
          <w:noProof/>
          <w:szCs w:val="24"/>
        </w:rPr>
        <w:t>8</w:t>
      </w:r>
      <w:r w:rsidRPr="00F03BA0">
        <w:rPr>
          <w:noProof/>
          <w:szCs w:val="24"/>
        </w:rPr>
        <w:t>(1), 81–93. https://doi.org/10.15294/edaj.v8i1.28730</w:t>
      </w:r>
    </w:p>
    <w:p w14:paraId="41462FDC" w14:textId="77777777" w:rsidR="00F03BA0" w:rsidRPr="00F03BA0" w:rsidRDefault="00F03BA0" w:rsidP="002F4182">
      <w:pPr>
        <w:autoSpaceDE w:val="0"/>
        <w:autoSpaceDN w:val="0"/>
        <w:adjustRightInd w:val="0"/>
        <w:spacing w:after="0" w:line="240" w:lineRule="auto"/>
        <w:ind w:left="480" w:hanging="480"/>
        <w:jc w:val="both"/>
        <w:rPr>
          <w:noProof/>
          <w:szCs w:val="24"/>
        </w:rPr>
      </w:pPr>
      <w:r w:rsidRPr="00F03BA0">
        <w:rPr>
          <w:noProof/>
          <w:szCs w:val="24"/>
        </w:rPr>
        <w:t xml:space="preserve">Widarjono, A. (2017). </w:t>
      </w:r>
      <w:r w:rsidRPr="00F03BA0">
        <w:rPr>
          <w:i/>
          <w:iCs/>
          <w:noProof/>
          <w:szCs w:val="24"/>
        </w:rPr>
        <w:t>EKONOMETKIKA : Teori dan Aplikasi Untuk Ekonomi dan Bisnis</w:t>
      </w:r>
      <w:r w:rsidRPr="00F03BA0">
        <w:rPr>
          <w:noProof/>
          <w:szCs w:val="24"/>
        </w:rPr>
        <w:t>. Yogyakarta: Ekonisia Fakultas Ekonomi UII.</w:t>
      </w:r>
    </w:p>
    <w:p w14:paraId="3CA6D6D3" w14:textId="77777777" w:rsidR="00F03BA0" w:rsidRPr="00F03BA0" w:rsidRDefault="00F03BA0" w:rsidP="002F4182">
      <w:pPr>
        <w:autoSpaceDE w:val="0"/>
        <w:autoSpaceDN w:val="0"/>
        <w:adjustRightInd w:val="0"/>
        <w:spacing w:after="0" w:line="240" w:lineRule="auto"/>
        <w:ind w:left="480" w:hanging="480"/>
        <w:jc w:val="both"/>
        <w:rPr>
          <w:noProof/>
        </w:rPr>
      </w:pPr>
      <w:r w:rsidRPr="00F03BA0">
        <w:rPr>
          <w:noProof/>
          <w:szCs w:val="24"/>
        </w:rPr>
        <w:t xml:space="preserve">Yakunina, R. P., &amp; Bychkov, G. A. (2015). Correlation Analysis of the Components of the Human Development Index Across Countries. </w:t>
      </w:r>
      <w:r w:rsidRPr="00F03BA0">
        <w:rPr>
          <w:i/>
          <w:iCs/>
          <w:noProof/>
          <w:szCs w:val="24"/>
        </w:rPr>
        <w:t>Procedia Economics and Finance</w:t>
      </w:r>
      <w:r w:rsidRPr="00F03BA0">
        <w:rPr>
          <w:noProof/>
          <w:szCs w:val="24"/>
        </w:rPr>
        <w:t xml:space="preserve">, </w:t>
      </w:r>
      <w:r w:rsidRPr="00F03BA0">
        <w:rPr>
          <w:i/>
          <w:iCs/>
          <w:noProof/>
          <w:szCs w:val="24"/>
        </w:rPr>
        <w:t>24</w:t>
      </w:r>
      <w:r w:rsidRPr="00F03BA0">
        <w:rPr>
          <w:noProof/>
          <w:szCs w:val="24"/>
        </w:rPr>
        <w:t>(July), 766–771. Elsevier B.V. https://doi.org/10.1016/s2212-5671(15)00692-9</w:t>
      </w:r>
    </w:p>
    <w:p w14:paraId="2A2801AE" w14:textId="77777777" w:rsidR="00970DEA" w:rsidRDefault="00B46A0E" w:rsidP="002F4182">
      <w:pPr>
        <w:autoSpaceDE w:val="0"/>
        <w:autoSpaceDN w:val="0"/>
        <w:adjustRightInd w:val="0"/>
        <w:spacing w:after="0" w:line="240" w:lineRule="auto"/>
        <w:ind w:left="480" w:hanging="480"/>
        <w:jc w:val="both"/>
      </w:pPr>
      <w:r>
        <w:fldChar w:fldCharType="end"/>
      </w:r>
    </w:p>
    <w:sectPr w:rsidR="00970DEA" w:rsidSect="004E53EF">
      <w:headerReference w:type="default" r:id="rId14"/>
      <w:footerReference w:type="default" r:id="rId15"/>
      <w:headerReference w:type="first" r:id="rId16"/>
      <w:footerReference w:type="first" r:id="rId17"/>
      <w:pgSz w:w="11906" w:h="16838"/>
      <w:pgMar w:top="1417" w:right="1531" w:bottom="1077" w:left="1531" w:header="0" w:footer="5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ED32" w14:textId="77777777" w:rsidR="00A35E20" w:rsidRDefault="00A35E20" w:rsidP="00014869">
      <w:pPr>
        <w:spacing w:after="0" w:line="240" w:lineRule="auto"/>
      </w:pPr>
      <w:r>
        <w:separator/>
      </w:r>
    </w:p>
  </w:endnote>
  <w:endnote w:type="continuationSeparator" w:id="0">
    <w:p w14:paraId="26399810" w14:textId="77777777" w:rsidR="00A35E20" w:rsidRDefault="00A35E20" w:rsidP="0001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20496"/>
      <w:docPartObj>
        <w:docPartGallery w:val="Page Numbers (Bottom of Page)"/>
        <w:docPartUnique/>
      </w:docPartObj>
    </w:sdtPr>
    <w:sdtEndPr>
      <w:rPr>
        <w:noProof/>
      </w:rPr>
    </w:sdtEndPr>
    <w:sdtContent>
      <w:sdt>
        <w:sdtPr>
          <w:id w:val="1420064377"/>
          <w:docPartObj>
            <w:docPartGallery w:val="Page Numbers (Bottom of Page)"/>
            <w:docPartUnique/>
          </w:docPartObj>
        </w:sdtPr>
        <w:sdtEndPr>
          <w:rPr>
            <w:noProof/>
            <w:sz w:val="20"/>
            <w:szCs w:val="20"/>
          </w:rPr>
        </w:sdtEndPr>
        <w:sdtContent>
          <w:p w14:paraId="6D2A072A" w14:textId="77777777" w:rsidR="00456A37" w:rsidRPr="00F74299" w:rsidRDefault="00456A37" w:rsidP="005F6DE2">
            <w:pPr>
              <w:pStyle w:val="Footer"/>
              <w:pBdr>
                <w:top w:val="single" w:sz="4" w:space="1" w:color="auto"/>
              </w:pBdr>
              <w:rPr>
                <w:sz w:val="20"/>
                <w:szCs w:val="20"/>
              </w:rPr>
            </w:pPr>
            <w:r w:rsidRPr="00F74299">
              <w:rPr>
                <w:sz w:val="20"/>
              </w:rPr>
              <w:t>https://ejournal.unsri.ac.id/index.php/jep/index</w:t>
            </w:r>
            <w:r w:rsidRPr="00F74299">
              <w:rPr>
                <w:sz w:val="20"/>
                <w:szCs w:val="20"/>
              </w:rPr>
              <w:tab/>
            </w:r>
          </w:p>
          <w:p w14:paraId="0061BC17" w14:textId="77777777" w:rsidR="00456A37" w:rsidRPr="005F6DE2" w:rsidRDefault="00456A37" w:rsidP="005F6DE2">
            <w:pPr>
              <w:pStyle w:val="Footer"/>
              <w:pBdr>
                <w:top w:val="single" w:sz="4" w:space="1" w:color="auto"/>
              </w:pBdr>
              <w:rPr>
                <w:sz w:val="20"/>
                <w:szCs w:val="20"/>
              </w:rPr>
            </w:pPr>
            <w:r w:rsidRPr="00F74299">
              <w:rPr>
                <w:sz w:val="20"/>
                <w:szCs w:val="20"/>
              </w:rPr>
              <w:t xml:space="preserve">DOI: https://doi.org/10.29259/jep.vxxix.xxxx </w:t>
            </w:r>
            <w:r w:rsidRPr="00F74299">
              <w:rPr>
                <w:sz w:val="20"/>
                <w:szCs w:val="20"/>
              </w:rPr>
              <w:tab/>
            </w:r>
            <w:r w:rsidRPr="00F74299">
              <w:rPr>
                <w:sz w:val="20"/>
                <w:szCs w:val="20"/>
              </w:rPr>
              <w:tab/>
            </w:r>
            <w:r w:rsidRPr="00F74299">
              <w:rPr>
                <w:sz w:val="20"/>
                <w:szCs w:val="20"/>
              </w:rPr>
              <w:fldChar w:fldCharType="begin"/>
            </w:r>
            <w:r w:rsidRPr="00F74299">
              <w:rPr>
                <w:sz w:val="20"/>
                <w:szCs w:val="20"/>
              </w:rPr>
              <w:instrText xml:space="preserve"> PAGE   \* MERGEFORMAT </w:instrText>
            </w:r>
            <w:r w:rsidRPr="00F74299">
              <w:rPr>
                <w:sz w:val="20"/>
                <w:szCs w:val="20"/>
              </w:rPr>
              <w:fldChar w:fldCharType="separate"/>
            </w:r>
            <w:r w:rsidR="00D56969">
              <w:rPr>
                <w:noProof/>
                <w:sz w:val="20"/>
                <w:szCs w:val="20"/>
              </w:rPr>
              <w:t>13</w:t>
            </w:r>
            <w:r w:rsidRPr="00F74299">
              <w:rPr>
                <w:noProo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91782"/>
      <w:docPartObj>
        <w:docPartGallery w:val="Page Numbers (Bottom of Page)"/>
        <w:docPartUnique/>
      </w:docPartObj>
    </w:sdtPr>
    <w:sdtEndPr>
      <w:rPr>
        <w:noProof/>
        <w:sz w:val="20"/>
        <w:szCs w:val="20"/>
      </w:rPr>
    </w:sdtEndPr>
    <w:sdtContent>
      <w:p w14:paraId="2997D681" w14:textId="77777777" w:rsidR="00456A37" w:rsidRPr="00F74299" w:rsidRDefault="00456A37" w:rsidP="005F6DE2">
        <w:pPr>
          <w:pStyle w:val="Footer"/>
          <w:pBdr>
            <w:top w:val="single" w:sz="4" w:space="1" w:color="auto"/>
          </w:pBdr>
          <w:rPr>
            <w:sz w:val="20"/>
            <w:szCs w:val="20"/>
          </w:rPr>
        </w:pPr>
        <w:r w:rsidRPr="00F74299">
          <w:rPr>
            <w:sz w:val="20"/>
          </w:rPr>
          <w:t>https://ejournal.unsri.ac.id/index.php/jep/index</w:t>
        </w:r>
        <w:r w:rsidRPr="00F74299">
          <w:rPr>
            <w:sz w:val="20"/>
            <w:szCs w:val="20"/>
          </w:rPr>
          <w:tab/>
        </w:r>
      </w:p>
      <w:p w14:paraId="410CCC55" w14:textId="77777777" w:rsidR="00456A37" w:rsidRDefault="00456A37" w:rsidP="005F6DE2">
        <w:pPr>
          <w:pStyle w:val="Footer"/>
          <w:pBdr>
            <w:top w:val="single" w:sz="4" w:space="1" w:color="auto"/>
          </w:pBdr>
          <w:rPr>
            <w:sz w:val="20"/>
            <w:szCs w:val="20"/>
          </w:rPr>
        </w:pPr>
        <w:r w:rsidRPr="00F74299">
          <w:rPr>
            <w:sz w:val="20"/>
            <w:szCs w:val="20"/>
          </w:rPr>
          <w:t xml:space="preserve">DOI: https://doi.org/10.29259/jep.vxxix.xxxx </w:t>
        </w:r>
        <w:r w:rsidRPr="00F74299">
          <w:rPr>
            <w:sz w:val="20"/>
            <w:szCs w:val="20"/>
          </w:rPr>
          <w:tab/>
        </w:r>
        <w:r w:rsidRPr="00F74299">
          <w:rPr>
            <w:sz w:val="20"/>
            <w:szCs w:val="20"/>
          </w:rPr>
          <w:tab/>
        </w:r>
        <w:r w:rsidRPr="00F74299">
          <w:rPr>
            <w:sz w:val="20"/>
            <w:szCs w:val="20"/>
          </w:rPr>
          <w:fldChar w:fldCharType="begin"/>
        </w:r>
        <w:r w:rsidRPr="00F74299">
          <w:rPr>
            <w:sz w:val="20"/>
            <w:szCs w:val="20"/>
          </w:rPr>
          <w:instrText xml:space="preserve"> PAGE   \* MERGEFORMAT </w:instrText>
        </w:r>
        <w:r w:rsidRPr="00F74299">
          <w:rPr>
            <w:sz w:val="20"/>
            <w:szCs w:val="20"/>
          </w:rPr>
          <w:fldChar w:fldCharType="separate"/>
        </w:r>
        <w:r w:rsidR="00D56969">
          <w:rPr>
            <w:noProof/>
            <w:sz w:val="20"/>
            <w:szCs w:val="20"/>
          </w:rPr>
          <w:t>1</w:t>
        </w:r>
        <w:r w:rsidRPr="00F7429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8DAE" w14:textId="77777777" w:rsidR="00A35E20" w:rsidRDefault="00A35E20" w:rsidP="00014869">
      <w:pPr>
        <w:spacing w:after="0" w:line="240" w:lineRule="auto"/>
      </w:pPr>
      <w:r>
        <w:separator/>
      </w:r>
    </w:p>
  </w:footnote>
  <w:footnote w:type="continuationSeparator" w:id="0">
    <w:p w14:paraId="0A9E755F" w14:textId="77777777" w:rsidR="00A35E20" w:rsidRDefault="00A35E20" w:rsidP="0001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1576" w14:textId="77777777" w:rsidR="00456A37" w:rsidRDefault="00456A37" w:rsidP="005D7604">
    <w:pPr>
      <w:spacing w:before="600" w:after="240" w:line="240" w:lineRule="auto"/>
      <w:rPr>
        <w:rFonts w:ascii="Palatino Linotype" w:eastAsia="Palatino Linotype" w:hAnsi="Palatino Linotype" w:cs="Palatino Linotype"/>
        <w:sz w:val="16"/>
        <w:szCs w:val="16"/>
      </w:rPr>
    </w:pPr>
    <w:proofErr w:type="spellStart"/>
    <w:r>
      <w:rPr>
        <w:rFonts w:ascii="Palatino Linotype" w:eastAsia="Palatino Linotype" w:hAnsi="Palatino Linotype" w:cs="Palatino Linotype"/>
        <w:i/>
        <w:sz w:val="16"/>
        <w:szCs w:val="16"/>
      </w:rPr>
      <w:t>Jurnal</w:t>
    </w:r>
    <w:proofErr w:type="spellEnd"/>
    <w:r>
      <w:rPr>
        <w:rFonts w:ascii="Palatino Linotype" w:eastAsia="Palatino Linotype" w:hAnsi="Palatino Linotype" w:cs="Palatino Linotype"/>
        <w:i/>
        <w:sz w:val="16"/>
        <w:szCs w:val="16"/>
      </w:rPr>
      <w:t xml:space="preserve"> </w:t>
    </w:r>
    <w:proofErr w:type="spellStart"/>
    <w:r>
      <w:rPr>
        <w:rFonts w:ascii="Palatino Linotype" w:eastAsia="Palatino Linotype" w:hAnsi="Palatino Linotype" w:cs="Palatino Linotype"/>
        <w:i/>
        <w:sz w:val="16"/>
        <w:szCs w:val="16"/>
      </w:rPr>
      <w:t>Ekonomi</w:t>
    </w:r>
    <w:proofErr w:type="spellEnd"/>
    <w:r>
      <w:rPr>
        <w:rFonts w:ascii="Palatino Linotype" w:eastAsia="Palatino Linotype" w:hAnsi="Palatino Linotype" w:cs="Palatino Linotype"/>
        <w:i/>
        <w:sz w:val="16"/>
        <w:szCs w:val="16"/>
      </w:rPr>
      <w:t xml:space="preserve"> Pembangunan, Vol. </w:t>
    </w:r>
    <w:r w:rsidRPr="005D7604">
      <w:rPr>
        <w:rFonts w:ascii="Palatino Linotype" w:eastAsia="Palatino Linotype" w:hAnsi="Palatino Linotype" w:cs="Palatino Linotype"/>
        <w:i/>
        <w:sz w:val="16"/>
        <w:szCs w:val="16"/>
      </w:rPr>
      <w:t>xx (xx): page xx-xx, month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53E2" w14:textId="77777777" w:rsidR="00456A37" w:rsidRDefault="00456A37" w:rsidP="00A030C5">
    <w:pPr>
      <w:pBdr>
        <w:top w:val="none" w:sz="0" w:space="0" w:color="auto"/>
      </w:pBdr>
      <w:spacing w:after="0" w:line="240" w:lineRule="auto"/>
      <w:jc w:val="right"/>
      <w:rPr>
        <w:rFonts w:ascii="Palatino Linotype" w:eastAsia="Palatino Linotype" w:hAnsi="Palatino Linotype" w:cs="Palatino Linotype"/>
        <w:i/>
      </w:rPr>
    </w:pPr>
    <w:r w:rsidRPr="00B0130B">
      <w:rPr>
        <w:rFonts w:ascii="Palatino Linotype" w:eastAsia="Palatino Linotype" w:hAnsi="Palatino Linotype" w:cs="Palatino Linotype"/>
        <w:i/>
        <w:noProof/>
      </w:rPr>
      <w:drawing>
        <wp:anchor distT="0" distB="0" distL="114300" distR="114300" simplePos="0" relativeHeight="251659264" behindDoc="1" locked="0" layoutInCell="1" allowOverlap="1" wp14:anchorId="2BEF2386" wp14:editId="10328A40">
          <wp:simplePos x="0" y="0"/>
          <wp:positionH relativeFrom="column">
            <wp:posOffset>-162560</wp:posOffset>
          </wp:positionH>
          <wp:positionV relativeFrom="paragraph">
            <wp:posOffset>29845</wp:posOffset>
          </wp:positionV>
          <wp:extent cx="923925" cy="923925"/>
          <wp:effectExtent l="0" t="0" r="9525" b="9525"/>
          <wp:wrapNone/>
          <wp:docPr id="7" name="Picture 7" descr="C:\Users\DELL\Downloads\WhatsApp Image 2019-06-26 at 15.1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WhatsApp Image 2019-06-26 at 15.14.24.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p>
  <w:p w14:paraId="783CCCCE" w14:textId="77777777" w:rsidR="00456A37" w:rsidRPr="00F7407B" w:rsidRDefault="00456A37" w:rsidP="00A030C5">
    <w:pPr>
      <w:pBdr>
        <w:top w:val="none" w:sz="0" w:space="0" w:color="auto"/>
      </w:pBdr>
      <w:spacing w:after="0" w:line="240" w:lineRule="auto"/>
      <w:jc w:val="right"/>
      <w:rPr>
        <w:rFonts w:ascii="Palatino Linotype" w:eastAsia="Palatino Linotype" w:hAnsi="Palatino Linotype" w:cs="Palatino Linotype"/>
        <w:b/>
      </w:rPr>
    </w:pPr>
    <w:r w:rsidRPr="00F7407B">
      <w:rPr>
        <w:rFonts w:ascii="Palatino Linotype" w:eastAsia="Palatino Linotype" w:hAnsi="Palatino Linotype" w:cs="Palatino Linotype"/>
        <w:b/>
        <w:lang w:val="id-ID"/>
      </w:rPr>
      <w:t>Jurnal Ekonomi</w:t>
    </w:r>
    <w:r w:rsidRPr="00F7407B">
      <w:rPr>
        <w:rFonts w:ascii="Palatino Linotype" w:eastAsia="Palatino Linotype" w:hAnsi="Palatino Linotype" w:cs="Palatino Linotype"/>
        <w:b/>
      </w:rPr>
      <w:t xml:space="preserve"> Pembangunan</w:t>
    </w:r>
  </w:p>
  <w:p w14:paraId="4F89F485" w14:textId="77777777" w:rsidR="00456A37" w:rsidRPr="00F7407B" w:rsidRDefault="00456A37" w:rsidP="00A030C5">
    <w:pPr>
      <w:pBdr>
        <w:top w:val="none" w:sz="0" w:space="0" w:color="auto"/>
      </w:pBdr>
      <w:spacing w:after="0" w:line="240" w:lineRule="auto"/>
      <w:jc w:val="right"/>
      <w:rPr>
        <w:rFonts w:ascii="Palatino Linotype" w:eastAsia="Palatino Linotype" w:hAnsi="Palatino Linotype" w:cs="Palatino Linotype"/>
      </w:rPr>
    </w:pPr>
    <w:proofErr w:type="spellStart"/>
    <w:r w:rsidRPr="00F7407B">
      <w:rPr>
        <w:rFonts w:ascii="Palatino Linotype" w:eastAsia="Palatino Linotype" w:hAnsi="Palatino Linotype" w:cs="Palatino Linotype"/>
      </w:rPr>
      <w:t>Vol</w:t>
    </w:r>
    <w:r>
      <w:rPr>
        <w:rFonts w:ascii="Palatino Linotype" w:eastAsia="Palatino Linotype" w:hAnsi="Palatino Linotype" w:cs="Palatino Linotype"/>
      </w:rPr>
      <w:t>umeXX</w:t>
    </w:r>
    <w:proofErr w:type="spellEnd"/>
    <w:r w:rsidRPr="00F7407B">
      <w:rPr>
        <w:rFonts w:ascii="Palatino Linotype" w:eastAsia="Palatino Linotype" w:hAnsi="Palatino Linotype" w:cs="Palatino Linotype"/>
      </w:rPr>
      <w:t xml:space="preserve"> (</w:t>
    </w:r>
    <w:r>
      <w:rPr>
        <w:rFonts w:ascii="Palatino Linotype" w:eastAsia="Palatino Linotype" w:hAnsi="Palatino Linotype" w:cs="Palatino Linotype"/>
      </w:rPr>
      <w:t>XX</w:t>
    </w:r>
    <w:r w:rsidRPr="00F7407B">
      <w:rPr>
        <w:rFonts w:ascii="Palatino Linotype" w:eastAsia="Palatino Linotype" w:hAnsi="Palatino Linotype" w:cs="Palatino Linotype"/>
      </w:rPr>
      <w:t xml:space="preserve">): xx-xx, </w:t>
    </w:r>
    <w:proofErr w:type="spellStart"/>
    <w:r>
      <w:rPr>
        <w:rFonts w:ascii="Palatino Linotype" w:eastAsia="Palatino Linotype" w:hAnsi="Palatino Linotype" w:cs="Palatino Linotype"/>
      </w:rPr>
      <w:t>MonthYear</w:t>
    </w:r>
    <w:proofErr w:type="spellEnd"/>
  </w:p>
  <w:p w14:paraId="7A766B8E" w14:textId="77777777" w:rsidR="00456A37" w:rsidRPr="00F7407B" w:rsidRDefault="00456A37" w:rsidP="00A030C5">
    <w:pPr>
      <w:pBdr>
        <w:top w:val="none" w:sz="0" w:space="0" w:color="auto"/>
      </w:pBdr>
      <w:spacing w:after="0" w:line="240" w:lineRule="auto"/>
      <w:jc w:val="right"/>
      <w:rPr>
        <w:rFonts w:ascii="Palatino Linotype" w:eastAsia="Palatino Linotype" w:hAnsi="Palatino Linotype" w:cs="Palatino Linotype"/>
        <w:sz w:val="16"/>
        <w:szCs w:val="20"/>
      </w:rPr>
    </w:pPr>
    <w:r>
      <w:rPr>
        <w:rFonts w:ascii="Palatino Linotype" w:eastAsia="Palatino Linotype" w:hAnsi="Palatino Linotype" w:cs="Palatino Linotype"/>
        <w:sz w:val="18"/>
        <w:lang w:val="en-GB"/>
      </w:rPr>
      <w:t>P</w:t>
    </w:r>
    <w:r w:rsidRPr="00F7407B">
      <w:rPr>
        <w:rFonts w:ascii="Palatino Linotype" w:eastAsia="Palatino Linotype" w:hAnsi="Palatino Linotype" w:cs="Palatino Linotype"/>
        <w:sz w:val="18"/>
        <w:lang w:val="id-ID"/>
      </w:rPr>
      <w:t>-ISSN:</w:t>
    </w:r>
    <w:r>
      <w:rPr>
        <w:rFonts w:ascii="Palatino Linotype" w:eastAsia="Palatino Linotype" w:hAnsi="Palatino Linotype" w:cs="Palatino Linotype"/>
        <w:sz w:val="18"/>
      </w:rPr>
      <w:t xml:space="preserve"> 1829-5843; E</w:t>
    </w:r>
    <w:r w:rsidRPr="00F7407B">
      <w:rPr>
        <w:rFonts w:ascii="Palatino Linotype" w:eastAsia="Palatino Linotype" w:hAnsi="Palatino Linotype" w:cs="Palatino Linotype"/>
        <w:sz w:val="18"/>
      </w:rPr>
      <w:t>-ISSN: 2685-0788</w:t>
    </w:r>
  </w:p>
  <w:p w14:paraId="2C090D3D" w14:textId="77777777" w:rsidR="00456A37" w:rsidRPr="00A030C5" w:rsidRDefault="00456A37" w:rsidP="00A03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D04"/>
    <w:multiLevelType w:val="multilevel"/>
    <w:tmpl w:val="06F6845C"/>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1" w15:restartNumberingAfterBreak="0">
    <w:nsid w:val="51C41ED4"/>
    <w:multiLevelType w:val="hybridMultilevel"/>
    <w:tmpl w:val="3F0E4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52B23ED"/>
    <w:multiLevelType w:val="hybridMultilevel"/>
    <w:tmpl w:val="71AE7B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6E200C5E"/>
    <w:multiLevelType w:val="multilevel"/>
    <w:tmpl w:val="311ED2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W0tLA0NTCzMDK2NDVV0lEKTi0uzszPAykwNKwFAMsZl0AtAAAA"/>
  </w:docVars>
  <w:rsids>
    <w:rsidRoot w:val="00D2546D"/>
    <w:rsid w:val="0000055C"/>
    <w:rsid w:val="00014869"/>
    <w:rsid w:val="00014E91"/>
    <w:rsid w:val="0001716B"/>
    <w:rsid w:val="00045F3F"/>
    <w:rsid w:val="00060590"/>
    <w:rsid w:val="00070B88"/>
    <w:rsid w:val="00077D4B"/>
    <w:rsid w:val="000801F4"/>
    <w:rsid w:val="000837B6"/>
    <w:rsid w:val="00084153"/>
    <w:rsid w:val="00084F98"/>
    <w:rsid w:val="000926F8"/>
    <w:rsid w:val="00094BC4"/>
    <w:rsid w:val="000D7809"/>
    <w:rsid w:val="000E2547"/>
    <w:rsid w:val="000E3A85"/>
    <w:rsid w:val="000E7697"/>
    <w:rsid w:val="000F06F5"/>
    <w:rsid w:val="000F37A5"/>
    <w:rsid w:val="0011596A"/>
    <w:rsid w:val="00120A27"/>
    <w:rsid w:val="001323CA"/>
    <w:rsid w:val="00132C66"/>
    <w:rsid w:val="00142E1C"/>
    <w:rsid w:val="001436DB"/>
    <w:rsid w:val="00151308"/>
    <w:rsid w:val="00166992"/>
    <w:rsid w:val="00175143"/>
    <w:rsid w:val="00180485"/>
    <w:rsid w:val="001826F9"/>
    <w:rsid w:val="00183496"/>
    <w:rsid w:val="001840B7"/>
    <w:rsid w:val="00186A2D"/>
    <w:rsid w:val="00192143"/>
    <w:rsid w:val="001A0574"/>
    <w:rsid w:val="001A5E03"/>
    <w:rsid w:val="001B6951"/>
    <w:rsid w:val="001C3932"/>
    <w:rsid w:val="00203AE3"/>
    <w:rsid w:val="002266C2"/>
    <w:rsid w:val="002363D0"/>
    <w:rsid w:val="002406DF"/>
    <w:rsid w:val="0024344A"/>
    <w:rsid w:val="00276A7F"/>
    <w:rsid w:val="00277EEB"/>
    <w:rsid w:val="002827E8"/>
    <w:rsid w:val="00291C67"/>
    <w:rsid w:val="00291C88"/>
    <w:rsid w:val="002940D2"/>
    <w:rsid w:val="002A2D18"/>
    <w:rsid w:val="002A7579"/>
    <w:rsid w:val="002B2373"/>
    <w:rsid w:val="002B3489"/>
    <w:rsid w:val="002C1163"/>
    <w:rsid w:val="002C64ED"/>
    <w:rsid w:val="002D630F"/>
    <w:rsid w:val="002E25F2"/>
    <w:rsid w:val="002E3ECC"/>
    <w:rsid w:val="002F4182"/>
    <w:rsid w:val="002F50E4"/>
    <w:rsid w:val="002F60A6"/>
    <w:rsid w:val="00302AE0"/>
    <w:rsid w:val="00306A2F"/>
    <w:rsid w:val="00310031"/>
    <w:rsid w:val="00316EC2"/>
    <w:rsid w:val="003175B3"/>
    <w:rsid w:val="00324E07"/>
    <w:rsid w:val="00325A7E"/>
    <w:rsid w:val="003265D6"/>
    <w:rsid w:val="00331B49"/>
    <w:rsid w:val="0035045B"/>
    <w:rsid w:val="00353C16"/>
    <w:rsid w:val="0035474D"/>
    <w:rsid w:val="00367819"/>
    <w:rsid w:val="003873B8"/>
    <w:rsid w:val="003C1ABF"/>
    <w:rsid w:val="003C5BAD"/>
    <w:rsid w:val="003E2CC6"/>
    <w:rsid w:val="003E7906"/>
    <w:rsid w:val="003F1BFB"/>
    <w:rsid w:val="003F4977"/>
    <w:rsid w:val="00410CED"/>
    <w:rsid w:val="00432165"/>
    <w:rsid w:val="00434AE3"/>
    <w:rsid w:val="0044391D"/>
    <w:rsid w:val="0044613C"/>
    <w:rsid w:val="00456A37"/>
    <w:rsid w:val="004621A8"/>
    <w:rsid w:val="004630F2"/>
    <w:rsid w:val="00473AD3"/>
    <w:rsid w:val="00485B40"/>
    <w:rsid w:val="00485E55"/>
    <w:rsid w:val="00487EFB"/>
    <w:rsid w:val="00495D19"/>
    <w:rsid w:val="004A7081"/>
    <w:rsid w:val="004B29DD"/>
    <w:rsid w:val="004B7602"/>
    <w:rsid w:val="004B7EC2"/>
    <w:rsid w:val="004D1AF3"/>
    <w:rsid w:val="004D5BA4"/>
    <w:rsid w:val="004D64FD"/>
    <w:rsid w:val="004E4AD8"/>
    <w:rsid w:val="004E53EF"/>
    <w:rsid w:val="004F7695"/>
    <w:rsid w:val="00507DA6"/>
    <w:rsid w:val="00510293"/>
    <w:rsid w:val="005201C0"/>
    <w:rsid w:val="00540C99"/>
    <w:rsid w:val="005431B6"/>
    <w:rsid w:val="0056249B"/>
    <w:rsid w:val="00563F23"/>
    <w:rsid w:val="00571035"/>
    <w:rsid w:val="0057406B"/>
    <w:rsid w:val="0057447A"/>
    <w:rsid w:val="005801E1"/>
    <w:rsid w:val="0059444C"/>
    <w:rsid w:val="005A4E68"/>
    <w:rsid w:val="005B27ED"/>
    <w:rsid w:val="005B2963"/>
    <w:rsid w:val="005B5B20"/>
    <w:rsid w:val="005D7604"/>
    <w:rsid w:val="005D7E90"/>
    <w:rsid w:val="005E21C8"/>
    <w:rsid w:val="005E5FEF"/>
    <w:rsid w:val="005E6903"/>
    <w:rsid w:val="005F6DE2"/>
    <w:rsid w:val="00606621"/>
    <w:rsid w:val="006161E0"/>
    <w:rsid w:val="00620F4F"/>
    <w:rsid w:val="00622F46"/>
    <w:rsid w:val="00631FCC"/>
    <w:rsid w:val="0063704F"/>
    <w:rsid w:val="00663641"/>
    <w:rsid w:val="00673891"/>
    <w:rsid w:val="00680E4F"/>
    <w:rsid w:val="006829C2"/>
    <w:rsid w:val="00685144"/>
    <w:rsid w:val="006A3EAB"/>
    <w:rsid w:val="006B4D7F"/>
    <w:rsid w:val="006C08E4"/>
    <w:rsid w:val="006D00BB"/>
    <w:rsid w:val="006D1F4F"/>
    <w:rsid w:val="006D6E95"/>
    <w:rsid w:val="006D7E13"/>
    <w:rsid w:val="006E3270"/>
    <w:rsid w:val="006F25F8"/>
    <w:rsid w:val="006F2786"/>
    <w:rsid w:val="006F368D"/>
    <w:rsid w:val="006F6DE6"/>
    <w:rsid w:val="007035D2"/>
    <w:rsid w:val="00707F4F"/>
    <w:rsid w:val="007219C7"/>
    <w:rsid w:val="00727403"/>
    <w:rsid w:val="0073389C"/>
    <w:rsid w:val="00746754"/>
    <w:rsid w:val="00751C5E"/>
    <w:rsid w:val="00762B30"/>
    <w:rsid w:val="00780008"/>
    <w:rsid w:val="00783754"/>
    <w:rsid w:val="00791AA1"/>
    <w:rsid w:val="00794344"/>
    <w:rsid w:val="007A3B0E"/>
    <w:rsid w:val="007A4449"/>
    <w:rsid w:val="007A69FD"/>
    <w:rsid w:val="007B1470"/>
    <w:rsid w:val="007B371B"/>
    <w:rsid w:val="007B449F"/>
    <w:rsid w:val="007D1BE8"/>
    <w:rsid w:val="007D1F3A"/>
    <w:rsid w:val="007D3F82"/>
    <w:rsid w:val="007E7653"/>
    <w:rsid w:val="007F02C6"/>
    <w:rsid w:val="007F644A"/>
    <w:rsid w:val="008054F0"/>
    <w:rsid w:val="008069E6"/>
    <w:rsid w:val="00833AB2"/>
    <w:rsid w:val="00833B9D"/>
    <w:rsid w:val="0084335B"/>
    <w:rsid w:val="00850043"/>
    <w:rsid w:val="0086137F"/>
    <w:rsid w:val="00872AC0"/>
    <w:rsid w:val="00875073"/>
    <w:rsid w:val="008752C9"/>
    <w:rsid w:val="00875E5B"/>
    <w:rsid w:val="00880219"/>
    <w:rsid w:val="008811DF"/>
    <w:rsid w:val="00891096"/>
    <w:rsid w:val="008928D5"/>
    <w:rsid w:val="008B1162"/>
    <w:rsid w:val="008C398C"/>
    <w:rsid w:val="008C7DE9"/>
    <w:rsid w:val="008E2E0C"/>
    <w:rsid w:val="008E3D9E"/>
    <w:rsid w:val="008F11B9"/>
    <w:rsid w:val="008F1774"/>
    <w:rsid w:val="008F69AA"/>
    <w:rsid w:val="00900FB2"/>
    <w:rsid w:val="00901590"/>
    <w:rsid w:val="009017C6"/>
    <w:rsid w:val="009023DE"/>
    <w:rsid w:val="00906D8A"/>
    <w:rsid w:val="00923B72"/>
    <w:rsid w:val="00930992"/>
    <w:rsid w:val="00935A2B"/>
    <w:rsid w:val="00953139"/>
    <w:rsid w:val="00957BA3"/>
    <w:rsid w:val="00960670"/>
    <w:rsid w:val="009612B6"/>
    <w:rsid w:val="00965BDE"/>
    <w:rsid w:val="009703DA"/>
    <w:rsid w:val="00970DEA"/>
    <w:rsid w:val="00975F1E"/>
    <w:rsid w:val="009824CF"/>
    <w:rsid w:val="00985DFB"/>
    <w:rsid w:val="009A2376"/>
    <w:rsid w:val="009A2B56"/>
    <w:rsid w:val="009B5402"/>
    <w:rsid w:val="009C0A63"/>
    <w:rsid w:val="009C3896"/>
    <w:rsid w:val="009D6963"/>
    <w:rsid w:val="009E0DB6"/>
    <w:rsid w:val="009E490C"/>
    <w:rsid w:val="00A030C5"/>
    <w:rsid w:val="00A1701D"/>
    <w:rsid w:val="00A223CE"/>
    <w:rsid w:val="00A24404"/>
    <w:rsid w:val="00A252A8"/>
    <w:rsid w:val="00A35E20"/>
    <w:rsid w:val="00A40363"/>
    <w:rsid w:val="00A51A0A"/>
    <w:rsid w:val="00A5635C"/>
    <w:rsid w:val="00A57BCC"/>
    <w:rsid w:val="00A7435D"/>
    <w:rsid w:val="00A85870"/>
    <w:rsid w:val="00A878B3"/>
    <w:rsid w:val="00A87924"/>
    <w:rsid w:val="00A95499"/>
    <w:rsid w:val="00AA2198"/>
    <w:rsid w:val="00AA3740"/>
    <w:rsid w:val="00AC76BC"/>
    <w:rsid w:val="00AD3D0D"/>
    <w:rsid w:val="00AD70E3"/>
    <w:rsid w:val="00AD7DAC"/>
    <w:rsid w:val="00AE2668"/>
    <w:rsid w:val="00AE7138"/>
    <w:rsid w:val="00B0130B"/>
    <w:rsid w:val="00B107BF"/>
    <w:rsid w:val="00B257C0"/>
    <w:rsid w:val="00B25B22"/>
    <w:rsid w:val="00B3422F"/>
    <w:rsid w:val="00B467A5"/>
    <w:rsid w:val="00B46A0E"/>
    <w:rsid w:val="00B572B8"/>
    <w:rsid w:val="00B750F2"/>
    <w:rsid w:val="00B75C14"/>
    <w:rsid w:val="00B80DD5"/>
    <w:rsid w:val="00B837B4"/>
    <w:rsid w:val="00B85149"/>
    <w:rsid w:val="00BA2349"/>
    <w:rsid w:val="00BA2BAD"/>
    <w:rsid w:val="00BB7B82"/>
    <w:rsid w:val="00BC0549"/>
    <w:rsid w:val="00BC1F8E"/>
    <w:rsid w:val="00BE7002"/>
    <w:rsid w:val="00BF44EA"/>
    <w:rsid w:val="00BF61EF"/>
    <w:rsid w:val="00C00075"/>
    <w:rsid w:val="00C00911"/>
    <w:rsid w:val="00C049B4"/>
    <w:rsid w:val="00C54467"/>
    <w:rsid w:val="00C6323A"/>
    <w:rsid w:val="00C653FB"/>
    <w:rsid w:val="00C72211"/>
    <w:rsid w:val="00C87E34"/>
    <w:rsid w:val="00CA5F6D"/>
    <w:rsid w:val="00CB3AE2"/>
    <w:rsid w:val="00CC1DAE"/>
    <w:rsid w:val="00CC4167"/>
    <w:rsid w:val="00CD1B84"/>
    <w:rsid w:val="00CD3577"/>
    <w:rsid w:val="00CE2257"/>
    <w:rsid w:val="00CF608F"/>
    <w:rsid w:val="00D0527E"/>
    <w:rsid w:val="00D14A93"/>
    <w:rsid w:val="00D16FAD"/>
    <w:rsid w:val="00D2546D"/>
    <w:rsid w:val="00D366F1"/>
    <w:rsid w:val="00D50A01"/>
    <w:rsid w:val="00D56969"/>
    <w:rsid w:val="00D571BF"/>
    <w:rsid w:val="00D662A0"/>
    <w:rsid w:val="00D66330"/>
    <w:rsid w:val="00D807E6"/>
    <w:rsid w:val="00D850A8"/>
    <w:rsid w:val="00D8793A"/>
    <w:rsid w:val="00DA2E9D"/>
    <w:rsid w:val="00DA440F"/>
    <w:rsid w:val="00DB3364"/>
    <w:rsid w:val="00DB77F4"/>
    <w:rsid w:val="00DC479D"/>
    <w:rsid w:val="00DE2C2F"/>
    <w:rsid w:val="00DE4946"/>
    <w:rsid w:val="00DE4F9A"/>
    <w:rsid w:val="00E07AF9"/>
    <w:rsid w:val="00E26300"/>
    <w:rsid w:val="00E27970"/>
    <w:rsid w:val="00E43E1A"/>
    <w:rsid w:val="00E43EDC"/>
    <w:rsid w:val="00E4796B"/>
    <w:rsid w:val="00E56471"/>
    <w:rsid w:val="00E62A2A"/>
    <w:rsid w:val="00E641CF"/>
    <w:rsid w:val="00E660C5"/>
    <w:rsid w:val="00E715F5"/>
    <w:rsid w:val="00E84DC9"/>
    <w:rsid w:val="00E91106"/>
    <w:rsid w:val="00E96A9C"/>
    <w:rsid w:val="00E97589"/>
    <w:rsid w:val="00EA3148"/>
    <w:rsid w:val="00EA744B"/>
    <w:rsid w:val="00ED23D2"/>
    <w:rsid w:val="00ED317B"/>
    <w:rsid w:val="00EE154F"/>
    <w:rsid w:val="00EF313E"/>
    <w:rsid w:val="00F01953"/>
    <w:rsid w:val="00F03BA0"/>
    <w:rsid w:val="00F35C94"/>
    <w:rsid w:val="00F52583"/>
    <w:rsid w:val="00F56C45"/>
    <w:rsid w:val="00F60FD6"/>
    <w:rsid w:val="00F653F7"/>
    <w:rsid w:val="00F74C19"/>
    <w:rsid w:val="00F85C4C"/>
    <w:rsid w:val="00F863BE"/>
    <w:rsid w:val="00F9270D"/>
    <w:rsid w:val="00FA356A"/>
    <w:rsid w:val="00FA7029"/>
    <w:rsid w:val="00FB5427"/>
    <w:rsid w:val="00FE47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23A"/>
  </w:style>
  <w:style w:type="paragraph" w:styleId="Heading1">
    <w:name w:val="heading 1"/>
    <w:basedOn w:val="Normal"/>
    <w:next w:val="Normal"/>
    <w:rsid w:val="00A1701D"/>
    <w:pPr>
      <w:spacing w:before="240"/>
      <w:outlineLvl w:val="0"/>
    </w:pPr>
    <w:rPr>
      <w:rFonts w:ascii="Arial" w:eastAsia="Arial" w:hAnsi="Arial" w:cs="Arial"/>
      <w:b/>
      <w:u w:val="single"/>
    </w:rPr>
  </w:style>
  <w:style w:type="paragraph" w:styleId="Heading2">
    <w:name w:val="heading 2"/>
    <w:basedOn w:val="Normal"/>
    <w:next w:val="Normal"/>
    <w:rsid w:val="00A1701D"/>
    <w:pPr>
      <w:spacing w:before="120"/>
      <w:outlineLvl w:val="1"/>
    </w:pPr>
    <w:rPr>
      <w:rFonts w:ascii="Arial" w:eastAsia="Arial" w:hAnsi="Arial" w:cs="Arial"/>
      <w:b/>
    </w:rPr>
  </w:style>
  <w:style w:type="paragraph" w:styleId="Heading3">
    <w:name w:val="heading 3"/>
    <w:basedOn w:val="Normal"/>
    <w:next w:val="Normal"/>
    <w:rsid w:val="00A1701D"/>
    <w:pPr>
      <w:ind w:left="360"/>
      <w:outlineLvl w:val="2"/>
    </w:pPr>
    <w:rPr>
      <w:b/>
    </w:rPr>
  </w:style>
  <w:style w:type="paragraph" w:styleId="Heading4">
    <w:name w:val="heading 4"/>
    <w:basedOn w:val="Normal"/>
    <w:next w:val="Normal"/>
    <w:rsid w:val="00A1701D"/>
    <w:pPr>
      <w:keepNext/>
      <w:keepLines/>
      <w:spacing w:before="240"/>
      <w:ind w:left="907" w:hanging="907"/>
      <w:outlineLvl w:val="3"/>
    </w:pPr>
    <w:rPr>
      <w:rFonts w:ascii="Arial" w:eastAsia="Arial" w:hAnsi="Arial" w:cs="Arial"/>
      <w:b/>
    </w:rPr>
  </w:style>
  <w:style w:type="paragraph" w:styleId="Heading5">
    <w:name w:val="heading 5"/>
    <w:basedOn w:val="Normal"/>
    <w:next w:val="Normal"/>
    <w:rsid w:val="00A1701D"/>
    <w:pPr>
      <w:ind w:left="706"/>
      <w:outlineLvl w:val="4"/>
    </w:pPr>
    <w:rPr>
      <w:b/>
    </w:rPr>
  </w:style>
  <w:style w:type="paragraph" w:styleId="Heading6">
    <w:name w:val="heading 6"/>
    <w:basedOn w:val="Normal"/>
    <w:next w:val="Normal"/>
    <w:rsid w:val="00A1701D"/>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701D"/>
    <w:pPr>
      <w:keepNext/>
      <w:keepLines/>
      <w:spacing w:before="480" w:after="120"/>
    </w:pPr>
    <w:rPr>
      <w:b/>
      <w:sz w:val="72"/>
      <w:szCs w:val="72"/>
    </w:rPr>
  </w:style>
  <w:style w:type="paragraph" w:styleId="Subtitle">
    <w:name w:val="Subtitle"/>
    <w:basedOn w:val="Normal"/>
    <w:next w:val="Normal"/>
    <w:rsid w:val="00A1701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240" w:line="400" w:lineRule="exact"/>
    </w:pPr>
    <w:rPr>
      <w:rFonts w:ascii="Palatino Linotype" w:eastAsia="Times New Roman" w:hAnsi="Palatino Linotype" w:cs="Times New Roman"/>
      <w:b/>
      <w:snapToGrid w:val="0"/>
      <w:color w:val="auto"/>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table" w:styleId="TableGrid">
    <w:name w:val="Table Grid"/>
    <w:basedOn w:val="TableNormal"/>
    <w:uiPriority w:val="59"/>
    <w:rsid w:val="00B7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91C88"/>
    <w:rPr>
      <w:color w:val="605E5C"/>
      <w:shd w:val="clear" w:color="auto" w:fill="E1DFDD"/>
    </w:rPr>
  </w:style>
  <w:style w:type="paragraph" w:styleId="ListParagraph">
    <w:name w:val="List Paragraph"/>
    <w:basedOn w:val="Normal"/>
    <w:uiPriority w:val="34"/>
    <w:qFormat/>
    <w:rsid w:val="00960670"/>
    <w:pPr>
      <w:ind w:left="720"/>
      <w:contextualSpacing/>
    </w:pPr>
  </w:style>
  <w:style w:type="paragraph" w:styleId="BalloonText">
    <w:name w:val="Balloon Text"/>
    <w:basedOn w:val="Normal"/>
    <w:link w:val="BalloonTextChar"/>
    <w:uiPriority w:val="99"/>
    <w:semiHidden/>
    <w:unhideWhenUsed/>
    <w:rsid w:val="00975F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F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5F1E"/>
    <w:rPr>
      <w:sz w:val="16"/>
      <w:szCs w:val="16"/>
    </w:rPr>
  </w:style>
  <w:style w:type="paragraph" w:styleId="CommentText">
    <w:name w:val="annotation text"/>
    <w:basedOn w:val="Normal"/>
    <w:link w:val="CommentTextChar"/>
    <w:uiPriority w:val="99"/>
    <w:semiHidden/>
    <w:unhideWhenUsed/>
    <w:rsid w:val="00975F1E"/>
    <w:pPr>
      <w:spacing w:line="240" w:lineRule="auto"/>
    </w:pPr>
    <w:rPr>
      <w:sz w:val="20"/>
      <w:szCs w:val="20"/>
    </w:rPr>
  </w:style>
  <w:style w:type="character" w:customStyle="1" w:styleId="CommentTextChar">
    <w:name w:val="Comment Text Char"/>
    <w:basedOn w:val="DefaultParagraphFont"/>
    <w:link w:val="CommentText"/>
    <w:uiPriority w:val="99"/>
    <w:semiHidden/>
    <w:rsid w:val="00975F1E"/>
    <w:rPr>
      <w:sz w:val="20"/>
      <w:szCs w:val="20"/>
    </w:rPr>
  </w:style>
  <w:style w:type="paragraph" w:styleId="CommentSubject">
    <w:name w:val="annotation subject"/>
    <w:basedOn w:val="CommentText"/>
    <w:next w:val="CommentText"/>
    <w:link w:val="CommentSubjectChar"/>
    <w:uiPriority w:val="99"/>
    <w:semiHidden/>
    <w:unhideWhenUsed/>
    <w:rsid w:val="00975F1E"/>
    <w:rPr>
      <w:b/>
      <w:bCs/>
    </w:rPr>
  </w:style>
  <w:style w:type="character" w:customStyle="1" w:styleId="CommentSubjectChar">
    <w:name w:val="Comment Subject Char"/>
    <w:basedOn w:val="CommentTextChar"/>
    <w:link w:val="CommentSubject"/>
    <w:uiPriority w:val="99"/>
    <w:semiHidden/>
    <w:rsid w:val="00975F1E"/>
    <w:rPr>
      <w:b/>
      <w:bCs/>
      <w:sz w:val="20"/>
      <w:szCs w:val="20"/>
    </w:rPr>
  </w:style>
  <w:style w:type="character" w:styleId="PlaceholderText">
    <w:name w:val="Placeholder Text"/>
    <w:basedOn w:val="DefaultParagraphFont"/>
    <w:uiPriority w:val="99"/>
    <w:semiHidden/>
    <w:rsid w:val="00957BA3"/>
    <w:rPr>
      <w:color w:val="808080"/>
    </w:rPr>
  </w:style>
  <w:style w:type="paragraph" w:styleId="HTMLPreformatted">
    <w:name w:val="HTML Preformatted"/>
    <w:basedOn w:val="Normal"/>
    <w:link w:val="HTMLPreformattedChar"/>
    <w:uiPriority w:val="99"/>
    <w:semiHidden/>
    <w:unhideWhenUsed/>
    <w:rsid w:val="008F11B9"/>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F11B9"/>
    <w:rPr>
      <w:rFonts w:ascii="Courier New" w:eastAsia="Times New Roman" w:hAnsi="Courier New" w:cs="Courier New"/>
      <w:color w:val="auto"/>
      <w:sz w:val="20"/>
      <w:szCs w:val="20"/>
    </w:rPr>
  </w:style>
  <w:style w:type="character" w:customStyle="1" w:styleId="y2iqfc">
    <w:name w:val="y2iqfc"/>
    <w:basedOn w:val="DefaultParagraphFont"/>
    <w:rsid w:val="008F11B9"/>
  </w:style>
  <w:style w:type="paragraph" w:styleId="BodyText">
    <w:name w:val="Body Text"/>
    <w:basedOn w:val="Normal"/>
    <w:link w:val="BodyTextChar"/>
    <w:uiPriority w:val="1"/>
    <w:unhideWhenUsed/>
    <w:qFormat/>
    <w:rsid w:val="00A51A0A"/>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Book Antiqua" w:eastAsia="Book Antiqua" w:hAnsi="Book Antiqua" w:cs="Book Antiqua"/>
      <w:color w:val="auto"/>
      <w:sz w:val="20"/>
      <w:szCs w:val="20"/>
    </w:rPr>
  </w:style>
  <w:style w:type="character" w:customStyle="1" w:styleId="BodyTextChar">
    <w:name w:val="Body Text Char"/>
    <w:basedOn w:val="DefaultParagraphFont"/>
    <w:link w:val="BodyText"/>
    <w:uiPriority w:val="1"/>
    <w:rsid w:val="00A51A0A"/>
    <w:rPr>
      <w:rFonts w:ascii="Book Antiqua" w:eastAsia="Book Antiqua" w:hAnsi="Book Antiqua" w:cs="Book Antiqu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3108">
      <w:bodyDiv w:val="1"/>
      <w:marLeft w:val="0"/>
      <w:marRight w:val="0"/>
      <w:marTop w:val="0"/>
      <w:marBottom w:val="0"/>
      <w:divBdr>
        <w:top w:val="none" w:sz="0" w:space="0" w:color="auto"/>
        <w:left w:val="none" w:sz="0" w:space="0" w:color="auto"/>
        <w:bottom w:val="none" w:sz="0" w:space="0" w:color="auto"/>
        <w:right w:val="none" w:sz="0" w:space="0" w:color="auto"/>
      </w:divBdr>
    </w:div>
    <w:div w:id="492599930">
      <w:bodyDiv w:val="1"/>
      <w:marLeft w:val="0"/>
      <w:marRight w:val="0"/>
      <w:marTop w:val="0"/>
      <w:marBottom w:val="0"/>
      <w:divBdr>
        <w:top w:val="none" w:sz="0" w:space="0" w:color="auto"/>
        <w:left w:val="none" w:sz="0" w:space="0" w:color="auto"/>
        <w:bottom w:val="none" w:sz="0" w:space="0" w:color="auto"/>
        <w:right w:val="none" w:sz="0" w:space="0" w:color="auto"/>
      </w:divBdr>
      <w:divsChild>
        <w:div w:id="323780274">
          <w:marLeft w:val="0"/>
          <w:marRight w:val="0"/>
          <w:marTop w:val="100"/>
          <w:marBottom w:val="0"/>
          <w:divBdr>
            <w:top w:val="none" w:sz="0" w:space="0" w:color="auto"/>
            <w:left w:val="none" w:sz="0" w:space="0" w:color="auto"/>
            <w:bottom w:val="none" w:sz="0" w:space="0" w:color="auto"/>
            <w:right w:val="none" w:sz="0" w:space="0" w:color="auto"/>
          </w:divBdr>
          <w:divsChild>
            <w:div w:id="874774749">
              <w:marLeft w:val="0"/>
              <w:marRight w:val="0"/>
              <w:marTop w:val="50"/>
              <w:marBottom w:val="0"/>
              <w:divBdr>
                <w:top w:val="none" w:sz="0" w:space="0" w:color="auto"/>
                <w:left w:val="none" w:sz="0" w:space="0" w:color="auto"/>
                <w:bottom w:val="none" w:sz="0" w:space="0" w:color="auto"/>
                <w:right w:val="none" w:sz="0" w:space="0" w:color="auto"/>
              </w:divBdr>
            </w:div>
          </w:divsChild>
        </w:div>
        <w:div w:id="2045404561">
          <w:marLeft w:val="0"/>
          <w:marRight w:val="0"/>
          <w:marTop w:val="0"/>
          <w:marBottom w:val="0"/>
          <w:divBdr>
            <w:top w:val="none" w:sz="0" w:space="0" w:color="auto"/>
            <w:left w:val="none" w:sz="0" w:space="0" w:color="auto"/>
            <w:bottom w:val="none" w:sz="0" w:space="0" w:color="auto"/>
            <w:right w:val="none" w:sz="0" w:space="0" w:color="auto"/>
          </w:divBdr>
          <w:divsChild>
            <w:div w:id="1774596603">
              <w:marLeft w:val="0"/>
              <w:marRight w:val="0"/>
              <w:marTop w:val="0"/>
              <w:marBottom w:val="0"/>
              <w:divBdr>
                <w:top w:val="none" w:sz="0" w:space="0" w:color="auto"/>
                <w:left w:val="none" w:sz="0" w:space="0" w:color="auto"/>
                <w:bottom w:val="none" w:sz="0" w:space="0" w:color="auto"/>
                <w:right w:val="none" w:sz="0" w:space="0" w:color="auto"/>
              </w:divBdr>
              <w:divsChild>
                <w:div w:id="6186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6830">
      <w:bodyDiv w:val="1"/>
      <w:marLeft w:val="0"/>
      <w:marRight w:val="0"/>
      <w:marTop w:val="0"/>
      <w:marBottom w:val="0"/>
      <w:divBdr>
        <w:top w:val="none" w:sz="0" w:space="0" w:color="auto"/>
        <w:left w:val="none" w:sz="0" w:space="0" w:color="auto"/>
        <w:bottom w:val="none" w:sz="0" w:space="0" w:color="auto"/>
        <w:right w:val="none" w:sz="0" w:space="0" w:color="auto"/>
      </w:divBdr>
      <w:divsChild>
        <w:div w:id="1870489417">
          <w:marLeft w:val="0"/>
          <w:marRight w:val="0"/>
          <w:marTop w:val="100"/>
          <w:marBottom w:val="0"/>
          <w:divBdr>
            <w:top w:val="none" w:sz="0" w:space="0" w:color="auto"/>
            <w:left w:val="none" w:sz="0" w:space="0" w:color="auto"/>
            <w:bottom w:val="none" w:sz="0" w:space="0" w:color="auto"/>
            <w:right w:val="none" w:sz="0" w:space="0" w:color="auto"/>
          </w:divBdr>
          <w:divsChild>
            <w:div w:id="1231890711">
              <w:marLeft w:val="0"/>
              <w:marRight w:val="0"/>
              <w:marTop w:val="50"/>
              <w:marBottom w:val="0"/>
              <w:divBdr>
                <w:top w:val="none" w:sz="0" w:space="0" w:color="auto"/>
                <w:left w:val="none" w:sz="0" w:space="0" w:color="auto"/>
                <w:bottom w:val="none" w:sz="0" w:space="0" w:color="auto"/>
                <w:right w:val="none" w:sz="0" w:space="0" w:color="auto"/>
              </w:divBdr>
            </w:div>
          </w:divsChild>
        </w:div>
        <w:div w:id="1019620296">
          <w:marLeft w:val="0"/>
          <w:marRight w:val="0"/>
          <w:marTop w:val="0"/>
          <w:marBottom w:val="0"/>
          <w:divBdr>
            <w:top w:val="none" w:sz="0" w:space="0" w:color="auto"/>
            <w:left w:val="none" w:sz="0" w:space="0" w:color="auto"/>
            <w:bottom w:val="none" w:sz="0" w:space="0" w:color="auto"/>
            <w:right w:val="none" w:sz="0" w:space="0" w:color="auto"/>
          </w:divBdr>
          <w:divsChild>
            <w:div w:id="1632904933">
              <w:marLeft w:val="0"/>
              <w:marRight w:val="0"/>
              <w:marTop w:val="0"/>
              <w:marBottom w:val="0"/>
              <w:divBdr>
                <w:top w:val="none" w:sz="0" w:space="0" w:color="auto"/>
                <w:left w:val="none" w:sz="0" w:space="0" w:color="auto"/>
                <w:bottom w:val="none" w:sz="0" w:space="0" w:color="auto"/>
                <w:right w:val="none" w:sz="0" w:space="0" w:color="auto"/>
              </w:divBdr>
              <w:divsChild>
                <w:div w:id="186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8776">
      <w:bodyDiv w:val="1"/>
      <w:marLeft w:val="0"/>
      <w:marRight w:val="0"/>
      <w:marTop w:val="0"/>
      <w:marBottom w:val="0"/>
      <w:divBdr>
        <w:top w:val="none" w:sz="0" w:space="0" w:color="auto"/>
        <w:left w:val="none" w:sz="0" w:space="0" w:color="auto"/>
        <w:bottom w:val="none" w:sz="0" w:space="0" w:color="auto"/>
        <w:right w:val="none" w:sz="0" w:space="0" w:color="auto"/>
      </w:divBdr>
    </w:div>
    <w:div w:id="1719279109">
      <w:bodyDiv w:val="1"/>
      <w:marLeft w:val="0"/>
      <w:marRight w:val="0"/>
      <w:marTop w:val="0"/>
      <w:marBottom w:val="0"/>
      <w:divBdr>
        <w:top w:val="none" w:sz="0" w:space="0" w:color="auto"/>
        <w:left w:val="none" w:sz="0" w:space="0" w:color="auto"/>
        <w:bottom w:val="none" w:sz="0" w:space="0" w:color="auto"/>
        <w:right w:val="none" w:sz="0" w:space="0" w:color="auto"/>
      </w:divBdr>
    </w:div>
    <w:div w:id="1839886236">
      <w:bodyDiv w:val="1"/>
      <w:marLeft w:val="0"/>
      <w:marRight w:val="0"/>
      <w:marTop w:val="0"/>
      <w:marBottom w:val="0"/>
      <w:divBdr>
        <w:top w:val="none" w:sz="0" w:space="0" w:color="auto"/>
        <w:left w:val="none" w:sz="0" w:space="0" w:color="auto"/>
        <w:bottom w:val="none" w:sz="0" w:space="0" w:color="auto"/>
        <w:right w:val="none" w:sz="0" w:space="0" w:color="auto"/>
      </w:divBdr>
      <w:divsChild>
        <w:div w:id="667363297">
          <w:marLeft w:val="0"/>
          <w:marRight w:val="0"/>
          <w:marTop w:val="100"/>
          <w:marBottom w:val="0"/>
          <w:divBdr>
            <w:top w:val="none" w:sz="0" w:space="0" w:color="auto"/>
            <w:left w:val="none" w:sz="0" w:space="0" w:color="auto"/>
            <w:bottom w:val="none" w:sz="0" w:space="0" w:color="auto"/>
            <w:right w:val="none" w:sz="0" w:space="0" w:color="auto"/>
          </w:divBdr>
          <w:divsChild>
            <w:div w:id="1325233151">
              <w:marLeft w:val="0"/>
              <w:marRight w:val="0"/>
              <w:marTop w:val="50"/>
              <w:marBottom w:val="0"/>
              <w:divBdr>
                <w:top w:val="none" w:sz="0" w:space="0" w:color="auto"/>
                <w:left w:val="none" w:sz="0" w:space="0" w:color="auto"/>
                <w:bottom w:val="none" w:sz="0" w:space="0" w:color="auto"/>
                <w:right w:val="none" w:sz="0" w:space="0" w:color="auto"/>
              </w:divBdr>
            </w:div>
          </w:divsChild>
        </w:div>
        <w:div w:id="1949190636">
          <w:marLeft w:val="0"/>
          <w:marRight w:val="0"/>
          <w:marTop w:val="0"/>
          <w:marBottom w:val="0"/>
          <w:divBdr>
            <w:top w:val="none" w:sz="0" w:space="0" w:color="auto"/>
            <w:left w:val="none" w:sz="0" w:space="0" w:color="auto"/>
            <w:bottom w:val="none" w:sz="0" w:space="0" w:color="auto"/>
            <w:right w:val="none" w:sz="0" w:space="0" w:color="auto"/>
          </w:divBdr>
          <w:divsChild>
            <w:div w:id="255022289">
              <w:marLeft w:val="0"/>
              <w:marRight w:val="0"/>
              <w:marTop w:val="0"/>
              <w:marBottom w:val="0"/>
              <w:divBdr>
                <w:top w:val="none" w:sz="0" w:space="0" w:color="auto"/>
                <w:left w:val="none" w:sz="0" w:space="0" w:color="auto"/>
                <w:bottom w:val="none" w:sz="0" w:space="0" w:color="auto"/>
                <w:right w:val="none" w:sz="0" w:space="0" w:color="auto"/>
              </w:divBdr>
              <w:divsChild>
                <w:div w:id="20423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201">
      <w:bodyDiv w:val="1"/>
      <w:marLeft w:val="0"/>
      <w:marRight w:val="0"/>
      <w:marTop w:val="0"/>
      <w:marBottom w:val="0"/>
      <w:divBdr>
        <w:top w:val="none" w:sz="0" w:space="0" w:color="auto"/>
        <w:left w:val="none" w:sz="0" w:space="0" w:color="auto"/>
        <w:bottom w:val="none" w:sz="0" w:space="0" w:color="auto"/>
        <w:right w:val="none" w:sz="0" w:space="0" w:color="auto"/>
      </w:divBdr>
    </w:div>
    <w:div w:id="2057269734">
      <w:bodyDiv w:val="1"/>
      <w:marLeft w:val="0"/>
      <w:marRight w:val="0"/>
      <w:marTop w:val="0"/>
      <w:marBottom w:val="0"/>
      <w:divBdr>
        <w:top w:val="none" w:sz="0" w:space="0" w:color="auto"/>
        <w:left w:val="none" w:sz="0" w:space="0" w:color="auto"/>
        <w:bottom w:val="none" w:sz="0" w:space="0" w:color="auto"/>
        <w:right w:val="none" w:sz="0" w:space="0" w:color="auto"/>
      </w:divBdr>
    </w:div>
    <w:div w:id="210626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s2%20Choirur%20Rohmah%20UNJA\THESIS%20JOURNEY\Format%20Grafik\Grafik%20IPM%20Provinsi%20Jam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Jurnal%20Fix\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ugas%20Pak%20Ervan\Jurnal%20Dari%20Tesis\Jurnal%20Fix\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ugas%20Pak%20Ervan\Jurnal%20Dari%20Tesis\Jurnal%20Fix\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ugas%20Pak%20Ervan\Jurnal%20Dari%20Tesis\Jurnal%20Fix\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ugas%20Pak%20Ervan\Jurnal%20Dari%20Tesis\Jurnal%20Fix\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 (2)'!$A$3</c:f>
              <c:strCache>
                <c:ptCount val="1"/>
                <c:pt idx="0">
                  <c:v>Provinsi Jambi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r>
                      <a:rPr lang="en-US" sz="800" b="0"/>
                      <a:t>67,76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4E0-48F4-BF52-C0E653A46DEF}"/>
                </c:ext>
              </c:extLst>
            </c:dLbl>
            <c:dLbl>
              <c:idx val="6"/>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r>
                      <a:rPr lang="en-US" sz="800" b="0"/>
                      <a:t>69,62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4E0-48F4-BF52-C0E653A46DEF}"/>
                </c:ext>
              </c:extLst>
            </c:dLbl>
            <c:dLbl>
              <c:idx val="9"/>
              <c:layout>
                <c:manualLayout>
                  <c:x val="-7.243614182234101E-2"/>
                  <c:y val="-6.3897763578274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E0-48F4-BF52-C0E653A46DEF}"/>
                </c:ext>
              </c:extLst>
            </c:dLbl>
            <c:dLbl>
              <c:idx val="10"/>
              <c:layout>
                <c:manualLayout>
                  <c:x val="0"/>
                  <c:y val="3.8333335010207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E0-48F4-BF52-C0E653A46DE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'Sheet2 (2)'!$B$3:$L$3</c:f>
              <c:numCache>
                <c:formatCode>0.00</c:formatCode>
                <c:ptCount val="11"/>
                <c:pt idx="0">
                  <c:v>65.39</c:v>
                </c:pt>
                <c:pt idx="1">
                  <c:v>66.14</c:v>
                </c:pt>
                <c:pt idx="2">
                  <c:v>66.940000000000026</c:v>
                </c:pt>
                <c:pt idx="3">
                  <c:v>67.760000000000005</c:v>
                </c:pt>
                <c:pt idx="4">
                  <c:v>68.239999999999995</c:v>
                </c:pt>
                <c:pt idx="5">
                  <c:v>68.69</c:v>
                </c:pt>
                <c:pt idx="6">
                  <c:v>69.61999999999999</c:v>
                </c:pt>
                <c:pt idx="7">
                  <c:v>69.989999999999995</c:v>
                </c:pt>
                <c:pt idx="8">
                  <c:v>70.649999999999991</c:v>
                </c:pt>
                <c:pt idx="9">
                  <c:v>71.260000000000005</c:v>
                </c:pt>
                <c:pt idx="10" formatCode="General">
                  <c:v>71.290000000000006</c:v>
                </c:pt>
              </c:numCache>
            </c:numRef>
          </c:val>
          <c:smooth val="0"/>
          <c:extLst>
            <c:ext xmlns:c16="http://schemas.microsoft.com/office/drawing/2014/chart" uri="{C3380CC4-5D6E-409C-BE32-E72D297353CC}">
              <c16:uniqueId val="{00000002-5D18-4F3E-9D5B-3C9FA37E0B39}"/>
            </c:ext>
          </c:extLst>
        </c:ser>
        <c:dLbls>
          <c:showLegendKey val="0"/>
          <c:showVal val="1"/>
          <c:showCatName val="0"/>
          <c:showSerName val="0"/>
          <c:showPercent val="0"/>
          <c:showBubbleSize val="0"/>
        </c:dLbls>
        <c:marker val="1"/>
        <c:smooth val="0"/>
        <c:axId val="285233920"/>
        <c:axId val="285235456"/>
        <c:extLst>
          <c:ext xmlns:c15="http://schemas.microsoft.com/office/drawing/2012/chart" uri="{02D57815-91ED-43cb-92C2-25804820EDAC}">
            <c15:filteredLineSeries>
              <c15:ser>
                <c:idx val="1"/>
                <c:order val="1"/>
                <c:tx>
                  <c:strRef>
                    <c:extLst>
                      <c:ext uri="{02D57815-91ED-43cb-92C2-25804820EDAC}">
                        <c15:formulaRef>
                          <c15:sqref>'Sheet2 (2)'!$A$4</c15:sqref>
                        </c15:formulaRef>
                      </c:ext>
                    </c:extLst>
                    <c:strCache>
                      <c:ptCount val="1"/>
                      <c:pt idx="0">
                        <c:v>Kerinci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'Sheet2 (2)'!$B$4:$L$4</c15:sqref>
                        </c15:formulaRef>
                      </c:ext>
                    </c:extLst>
                    <c:numCache>
                      <c:formatCode>0.00</c:formatCode>
                      <c:ptCount val="11"/>
                      <c:pt idx="0">
                        <c:v>65.16</c:v>
                      </c:pt>
                      <c:pt idx="1">
                        <c:v>65.849999999999994</c:v>
                      </c:pt>
                      <c:pt idx="2">
                        <c:v>66.709999999999994</c:v>
                      </c:pt>
                      <c:pt idx="3">
                        <c:v>67.489999999999995</c:v>
                      </c:pt>
                      <c:pt idx="4">
                        <c:v>67.959999999999994</c:v>
                      </c:pt>
                      <c:pt idx="5">
                        <c:v>68.89</c:v>
                      </c:pt>
                      <c:pt idx="6">
                        <c:v>69.680000000000007</c:v>
                      </c:pt>
                      <c:pt idx="7">
                        <c:v>70.03</c:v>
                      </c:pt>
                      <c:pt idx="8">
                        <c:v>70.59</c:v>
                      </c:pt>
                      <c:pt idx="9">
                        <c:v>70.95</c:v>
                      </c:pt>
                      <c:pt idx="10" formatCode="General">
                        <c:v>71.209999999999994</c:v>
                      </c:pt>
                    </c:numCache>
                  </c:numRef>
                </c:val>
                <c:smooth val="0"/>
                <c:extLst>
                  <c:ext xmlns:c16="http://schemas.microsoft.com/office/drawing/2014/chart" uri="{C3380CC4-5D6E-409C-BE32-E72D297353CC}">
                    <c16:uniqueId val="{00000003-5D18-4F3E-9D5B-3C9FA37E0B3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'Sheet2 (2)'!$A$5</c15:sqref>
                        </c15:formulaRef>
                      </c:ext>
                    </c:extLst>
                    <c:strCache>
                      <c:ptCount val="1"/>
                      <c:pt idx="0">
                        <c:v>Merangin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(2)'!$B$5:$L$5</c15:sqref>
                        </c15:formulaRef>
                      </c:ext>
                    </c:extLst>
                    <c:numCache>
                      <c:formatCode>0.00</c:formatCode>
                      <c:ptCount val="11"/>
                      <c:pt idx="0">
                        <c:v>63.85</c:v>
                      </c:pt>
                      <c:pt idx="1">
                        <c:v>64.400000000000006</c:v>
                      </c:pt>
                      <c:pt idx="2">
                        <c:v>65.31</c:v>
                      </c:pt>
                      <c:pt idx="3">
                        <c:v>65.819999999999993</c:v>
                      </c:pt>
                      <c:pt idx="4">
                        <c:v>66.209999999999994</c:v>
                      </c:pt>
                      <c:pt idx="5">
                        <c:v>67.400000000000006</c:v>
                      </c:pt>
                      <c:pt idx="6">
                        <c:v>67.86</c:v>
                      </c:pt>
                      <c:pt idx="7">
                        <c:v>68.3</c:v>
                      </c:pt>
                      <c:pt idx="8">
                        <c:v>68.81</c:v>
                      </c:pt>
                      <c:pt idx="9">
                        <c:v>69.069999999999993</c:v>
                      </c:pt>
                      <c:pt idx="10" formatCode="General">
                        <c:v>69.19</c:v>
                      </c:pt>
                    </c:numCache>
                  </c:numRef>
                </c:val>
                <c:smooth val="0"/>
                <c:extLst xmlns:c15="http://schemas.microsoft.com/office/drawing/2012/chart">
                  <c:ext xmlns:c16="http://schemas.microsoft.com/office/drawing/2014/chart" uri="{C3380CC4-5D6E-409C-BE32-E72D297353CC}">
                    <c16:uniqueId val="{00000004-5D18-4F3E-9D5B-3C9FA37E0B3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'Sheet2 (2)'!$A$6</c15:sqref>
                        </c15:formulaRef>
                      </c:ext>
                    </c:extLst>
                    <c:strCache>
                      <c:ptCount val="1"/>
                      <c:pt idx="0">
                        <c:v>Sarolangun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(2)'!$B$6:$L$6</c15:sqref>
                        </c15:formulaRef>
                      </c:ext>
                    </c:extLst>
                    <c:numCache>
                      <c:formatCode>0.00</c:formatCode>
                      <c:ptCount val="11"/>
                      <c:pt idx="0">
                        <c:v>64.64</c:v>
                      </c:pt>
                      <c:pt idx="1">
                        <c:v>65.2</c:v>
                      </c:pt>
                      <c:pt idx="2">
                        <c:v>66.16</c:v>
                      </c:pt>
                      <c:pt idx="3">
                        <c:v>67.13</c:v>
                      </c:pt>
                      <c:pt idx="4">
                        <c:v>67.67</c:v>
                      </c:pt>
                      <c:pt idx="5">
                        <c:v>68.099999999999994</c:v>
                      </c:pt>
                      <c:pt idx="6">
                        <c:v>68.73</c:v>
                      </c:pt>
                      <c:pt idx="7">
                        <c:v>69.03</c:v>
                      </c:pt>
                      <c:pt idx="8">
                        <c:v>69.41</c:v>
                      </c:pt>
                      <c:pt idx="9">
                        <c:v>69.72</c:v>
                      </c:pt>
                      <c:pt idx="10" formatCode="General">
                        <c:v>69.86</c:v>
                      </c:pt>
                    </c:numCache>
                  </c:numRef>
                </c:val>
                <c:smooth val="0"/>
                <c:extLst xmlns:c15="http://schemas.microsoft.com/office/drawing/2012/chart">
                  <c:ext xmlns:c16="http://schemas.microsoft.com/office/drawing/2014/chart" uri="{C3380CC4-5D6E-409C-BE32-E72D297353CC}">
                    <c16:uniqueId val="{00000005-5D18-4F3E-9D5B-3C9FA37E0B3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'Sheet2 (2)'!$A$7</c15:sqref>
                        </c15:formulaRef>
                      </c:ext>
                    </c:extLst>
                    <c:strCache>
                      <c:ptCount val="1"/>
                      <c:pt idx="0">
                        <c:v>Batang Hari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(2)'!$B$7:$L$7</c15:sqref>
                        </c15:formulaRef>
                      </c:ext>
                    </c:extLst>
                    <c:numCache>
                      <c:formatCode>0.00</c:formatCode>
                      <c:ptCount val="11"/>
                      <c:pt idx="0">
                        <c:v>65.67</c:v>
                      </c:pt>
                      <c:pt idx="1">
                        <c:v>66.319999999999993</c:v>
                      </c:pt>
                      <c:pt idx="2">
                        <c:v>66.97</c:v>
                      </c:pt>
                      <c:pt idx="3">
                        <c:v>67.239999999999995</c:v>
                      </c:pt>
                      <c:pt idx="4">
                        <c:v>67.680000000000007</c:v>
                      </c:pt>
                      <c:pt idx="5">
                        <c:v>68.05</c:v>
                      </c:pt>
                      <c:pt idx="6">
                        <c:v>68.7</c:v>
                      </c:pt>
                      <c:pt idx="7">
                        <c:v>68.92</c:v>
                      </c:pt>
                      <c:pt idx="8">
                        <c:v>69.33</c:v>
                      </c:pt>
                      <c:pt idx="9">
                        <c:v>69.67</c:v>
                      </c:pt>
                      <c:pt idx="10" formatCode="General">
                        <c:v>69.84</c:v>
                      </c:pt>
                    </c:numCache>
                  </c:numRef>
                </c:val>
                <c:smooth val="0"/>
                <c:extLst xmlns:c15="http://schemas.microsoft.com/office/drawing/2012/chart">
                  <c:ext xmlns:c16="http://schemas.microsoft.com/office/drawing/2014/chart" uri="{C3380CC4-5D6E-409C-BE32-E72D297353CC}">
                    <c16:uniqueId val="{00000006-5D18-4F3E-9D5B-3C9FA37E0B3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'Sheet2 (2)'!$A$8</c15:sqref>
                        </c15:formulaRef>
                      </c:ext>
                    </c:extLst>
                    <c:strCache>
                      <c:ptCount val="1"/>
                      <c:pt idx="0">
                        <c:v>Muaro Jambi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(2)'!$B$8:$L$8</c15:sqref>
                        </c15:formulaRef>
                      </c:ext>
                    </c:extLst>
                    <c:numCache>
                      <c:formatCode>0.00</c:formatCode>
                      <c:ptCount val="11"/>
                      <c:pt idx="0">
                        <c:v>62.84</c:v>
                      </c:pt>
                      <c:pt idx="1">
                        <c:v>63.39</c:v>
                      </c:pt>
                      <c:pt idx="2">
                        <c:v>64.17</c:v>
                      </c:pt>
                      <c:pt idx="3">
                        <c:v>65.14</c:v>
                      </c:pt>
                      <c:pt idx="4">
                        <c:v>65.709999999999994</c:v>
                      </c:pt>
                      <c:pt idx="5">
                        <c:v>66.66</c:v>
                      </c:pt>
                      <c:pt idx="6">
                        <c:v>67.55</c:v>
                      </c:pt>
                      <c:pt idx="7">
                        <c:v>67.86</c:v>
                      </c:pt>
                      <c:pt idx="8">
                        <c:v>68.34</c:v>
                      </c:pt>
                      <c:pt idx="9">
                        <c:v>69.010000000000005</c:v>
                      </c:pt>
                      <c:pt idx="10" formatCode="General">
                        <c:v>69.180000000000007</c:v>
                      </c:pt>
                    </c:numCache>
                  </c:numRef>
                </c:val>
                <c:smooth val="0"/>
                <c:extLst xmlns:c15="http://schemas.microsoft.com/office/drawing/2012/chart">
                  <c:ext xmlns:c16="http://schemas.microsoft.com/office/drawing/2014/chart" uri="{C3380CC4-5D6E-409C-BE32-E72D297353CC}">
                    <c16:uniqueId val="{00000007-5D18-4F3E-9D5B-3C9FA37E0B3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'Sheet2 (2)'!$A$9</c15:sqref>
                        </c15:formulaRef>
                      </c:ext>
                    </c:extLst>
                    <c:strCache>
                      <c:ptCount val="1"/>
                      <c:pt idx="0">
                        <c:v>Tanjung Jabung Timur</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(2)'!$B$9:$L$9</c15:sqref>
                        </c15:formulaRef>
                      </c:ext>
                    </c:extLst>
                    <c:numCache>
                      <c:formatCode>0.00</c:formatCode>
                      <c:ptCount val="11"/>
                      <c:pt idx="0">
                        <c:v>57.21</c:v>
                      </c:pt>
                      <c:pt idx="1">
                        <c:v>57.77</c:v>
                      </c:pt>
                      <c:pt idx="2">
                        <c:v>58.63</c:v>
                      </c:pt>
                      <c:pt idx="3">
                        <c:v>59.41</c:v>
                      </c:pt>
                      <c:pt idx="4">
                        <c:v>59.88</c:v>
                      </c:pt>
                      <c:pt idx="5">
                        <c:v>61.12</c:v>
                      </c:pt>
                      <c:pt idx="6">
                        <c:v>61.88</c:v>
                      </c:pt>
                      <c:pt idx="7">
                        <c:v>62.61</c:v>
                      </c:pt>
                      <c:pt idx="8">
                        <c:v>63.32</c:v>
                      </c:pt>
                      <c:pt idx="9">
                        <c:v>63.92</c:v>
                      </c:pt>
                      <c:pt idx="10" formatCode="General">
                        <c:v>64.430000000000007</c:v>
                      </c:pt>
                    </c:numCache>
                  </c:numRef>
                </c:val>
                <c:smooth val="0"/>
                <c:extLst xmlns:c15="http://schemas.microsoft.com/office/drawing/2012/chart">
                  <c:ext xmlns:c16="http://schemas.microsoft.com/office/drawing/2014/chart" uri="{C3380CC4-5D6E-409C-BE32-E72D297353CC}">
                    <c16:uniqueId val="{00000008-5D18-4F3E-9D5B-3C9FA37E0B3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'Sheet2 (2)'!$A$10</c15:sqref>
                        </c15:formulaRef>
                      </c:ext>
                    </c:extLst>
                    <c:strCache>
                      <c:ptCount val="1"/>
                      <c:pt idx="0">
                        <c:v>Tanjung Jabung Barat</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(2)'!$B$10:$L$10</c15:sqref>
                        </c15:formulaRef>
                      </c:ext>
                    </c:extLst>
                    <c:numCache>
                      <c:formatCode>0.00</c:formatCode>
                      <c:ptCount val="11"/>
                      <c:pt idx="0">
                        <c:v>61.49</c:v>
                      </c:pt>
                      <c:pt idx="1">
                        <c:v>61.98</c:v>
                      </c:pt>
                      <c:pt idx="2">
                        <c:v>62.86</c:v>
                      </c:pt>
                      <c:pt idx="3">
                        <c:v>63.54</c:v>
                      </c:pt>
                      <c:pt idx="4">
                        <c:v>64.040000000000006</c:v>
                      </c:pt>
                      <c:pt idx="5">
                        <c:v>65.03</c:v>
                      </c:pt>
                      <c:pt idx="6">
                        <c:v>65.91</c:v>
                      </c:pt>
                      <c:pt idx="7">
                        <c:v>66.150000000000006</c:v>
                      </c:pt>
                      <c:pt idx="8">
                        <c:v>67.13</c:v>
                      </c:pt>
                      <c:pt idx="9">
                        <c:v>67.540000000000006</c:v>
                      </c:pt>
                      <c:pt idx="10" formatCode="General">
                        <c:v>67.540000000000006</c:v>
                      </c:pt>
                    </c:numCache>
                  </c:numRef>
                </c:val>
                <c:smooth val="0"/>
                <c:extLst xmlns:c15="http://schemas.microsoft.com/office/drawing/2012/chart">
                  <c:ext xmlns:c16="http://schemas.microsoft.com/office/drawing/2014/chart" uri="{C3380CC4-5D6E-409C-BE32-E72D297353CC}">
                    <c16:uniqueId val="{00000009-5D18-4F3E-9D5B-3C9FA37E0B3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'Sheet2 (2)'!$A$11</c15:sqref>
                        </c15:formulaRef>
                      </c:ext>
                    </c:extLst>
                    <c:strCache>
                      <c:ptCount val="1"/>
                      <c:pt idx="0">
                        <c:v>Tebo</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(2)'!$B$11:$L$11</c15:sqref>
                        </c15:formulaRef>
                      </c:ext>
                    </c:extLst>
                    <c:numCache>
                      <c:formatCode>0.00</c:formatCode>
                      <c:ptCount val="11"/>
                      <c:pt idx="0">
                        <c:v>63.62</c:v>
                      </c:pt>
                      <c:pt idx="1">
                        <c:v>64.45</c:v>
                      </c:pt>
                      <c:pt idx="2">
                        <c:v>65.319999999999993</c:v>
                      </c:pt>
                      <c:pt idx="3">
                        <c:v>65.91</c:v>
                      </c:pt>
                      <c:pt idx="4">
                        <c:v>66.63</c:v>
                      </c:pt>
                      <c:pt idx="5">
                        <c:v>67.290000000000006</c:v>
                      </c:pt>
                      <c:pt idx="6">
                        <c:v>68.05</c:v>
                      </c:pt>
                      <c:pt idx="7">
                        <c:v>68.16</c:v>
                      </c:pt>
                      <c:pt idx="8">
                        <c:v>68.67</c:v>
                      </c:pt>
                      <c:pt idx="9">
                        <c:v>69.02</c:v>
                      </c:pt>
                      <c:pt idx="10" formatCode="General">
                        <c:v>69.14</c:v>
                      </c:pt>
                    </c:numCache>
                  </c:numRef>
                </c:val>
                <c:smooth val="0"/>
                <c:extLst xmlns:c15="http://schemas.microsoft.com/office/drawing/2012/chart">
                  <c:ext xmlns:c16="http://schemas.microsoft.com/office/drawing/2014/chart" uri="{C3380CC4-5D6E-409C-BE32-E72D297353CC}">
                    <c16:uniqueId val="{0000000A-5D18-4F3E-9D5B-3C9FA37E0B3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'Sheet2 (2)'!$A$12</c15:sqref>
                        </c15:formulaRef>
                      </c:ext>
                    </c:extLst>
                    <c:strCache>
                      <c:ptCount val="1"/>
                      <c:pt idx="0">
                        <c:v>Bungo</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(2)'!$B$12:$L$12</c15:sqref>
                        </c15:formulaRef>
                      </c:ext>
                    </c:extLst>
                    <c:numCache>
                      <c:formatCode>0.00</c:formatCode>
                      <c:ptCount val="11"/>
                      <c:pt idx="0">
                        <c:v>66.28</c:v>
                      </c:pt>
                      <c:pt idx="1">
                        <c:v>66.7</c:v>
                      </c:pt>
                      <c:pt idx="2">
                        <c:v>67.2</c:v>
                      </c:pt>
                      <c:pt idx="3">
                        <c:v>67.540000000000006</c:v>
                      </c:pt>
                      <c:pt idx="4">
                        <c:v>67.930000000000007</c:v>
                      </c:pt>
                      <c:pt idx="5">
                        <c:v>68.34</c:v>
                      </c:pt>
                      <c:pt idx="6">
                        <c:v>68.77</c:v>
                      </c:pt>
                      <c:pt idx="7">
                        <c:v>69.040000000000006</c:v>
                      </c:pt>
                      <c:pt idx="8">
                        <c:v>69.42</c:v>
                      </c:pt>
                      <c:pt idx="9">
                        <c:v>69.86</c:v>
                      </c:pt>
                      <c:pt idx="10" formatCode="General">
                        <c:v>69.92</c:v>
                      </c:pt>
                    </c:numCache>
                  </c:numRef>
                </c:val>
                <c:smooth val="0"/>
                <c:extLst xmlns:c15="http://schemas.microsoft.com/office/drawing/2012/chart">
                  <c:ext xmlns:c16="http://schemas.microsoft.com/office/drawing/2014/chart" uri="{C3380CC4-5D6E-409C-BE32-E72D297353CC}">
                    <c16:uniqueId val="{0000000B-5D18-4F3E-9D5B-3C9FA37E0B39}"/>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'Sheet2 (2)'!$A$13</c15:sqref>
                        </c15:formulaRef>
                      </c:ext>
                    </c:extLst>
                    <c:strCache>
                      <c:ptCount val="1"/>
                      <c:pt idx="0">
                        <c:v>Kota Jambi</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(2)'!$B$13:$L$13</c15:sqref>
                        </c15:formulaRef>
                      </c:ext>
                    </c:extLst>
                    <c:numCache>
                      <c:formatCode>0.00</c:formatCode>
                      <c:ptCount val="11"/>
                      <c:pt idx="0">
                        <c:v>72.23</c:v>
                      </c:pt>
                      <c:pt idx="1">
                        <c:v>72.959999999999994</c:v>
                      </c:pt>
                      <c:pt idx="2">
                        <c:v>73.78</c:v>
                      </c:pt>
                      <c:pt idx="3">
                        <c:v>74.209999999999994</c:v>
                      </c:pt>
                      <c:pt idx="4">
                        <c:v>74.86</c:v>
                      </c:pt>
                      <c:pt idx="5">
                        <c:v>75.58</c:v>
                      </c:pt>
                      <c:pt idx="6">
                        <c:v>76.14</c:v>
                      </c:pt>
                      <c:pt idx="7">
                        <c:v>76.739999999999995</c:v>
                      </c:pt>
                      <c:pt idx="8">
                        <c:v>77.41</c:v>
                      </c:pt>
                      <c:pt idx="9">
                        <c:v>78.260000000000005</c:v>
                      </c:pt>
                      <c:pt idx="10" formatCode="General">
                        <c:v>78.37</c:v>
                      </c:pt>
                    </c:numCache>
                  </c:numRef>
                </c:val>
                <c:smooth val="0"/>
                <c:extLst xmlns:c15="http://schemas.microsoft.com/office/drawing/2012/chart">
                  <c:ext xmlns:c16="http://schemas.microsoft.com/office/drawing/2014/chart" uri="{C3380CC4-5D6E-409C-BE32-E72D297353CC}">
                    <c16:uniqueId val="{0000000C-5D18-4F3E-9D5B-3C9FA37E0B39}"/>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'Sheet2 (2)'!$A$14</c15:sqref>
                        </c15:formulaRef>
                      </c:ext>
                    </c:extLst>
                    <c:strCache>
                      <c:ptCount val="1"/>
                      <c:pt idx="0">
                        <c:v>Kota Sungai Penuh</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'Sheet2 (2)'!$B$2:$L$2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'Sheet2 (2)'!$B$14:$L$14</c15:sqref>
                        </c15:formulaRef>
                      </c:ext>
                    </c:extLst>
                    <c:numCache>
                      <c:formatCode>0.00</c:formatCode>
                      <c:ptCount val="11"/>
                      <c:pt idx="0">
                        <c:v>69.91</c:v>
                      </c:pt>
                      <c:pt idx="1">
                        <c:v>70.55</c:v>
                      </c:pt>
                      <c:pt idx="2">
                        <c:v>71.23</c:v>
                      </c:pt>
                      <c:pt idx="3">
                        <c:v>72.09</c:v>
                      </c:pt>
                      <c:pt idx="4">
                        <c:v>72.48</c:v>
                      </c:pt>
                      <c:pt idx="5">
                        <c:v>73.03</c:v>
                      </c:pt>
                      <c:pt idx="6">
                        <c:v>73.53</c:v>
                      </c:pt>
                      <c:pt idx="7">
                        <c:v>73.75</c:v>
                      </c:pt>
                      <c:pt idx="8">
                        <c:v>74.67</c:v>
                      </c:pt>
                      <c:pt idx="9">
                        <c:v>75.36</c:v>
                      </c:pt>
                      <c:pt idx="10" formatCode="General">
                        <c:v>75.42</c:v>
                      </c:pt>
                    </c:numCache>
                  </c:numRef>
                </c:val>
                <c:smooth val="0"/>
                <c:extLst xmlns:c15="http://schemas.microsoft.com/office/drawing/2012/chart">
                  <c:ext xmlns:c16="http://schemas.microsoft.com/office/drawing/2014/chart" uri="{C3380CC4-5D6E-409C-BE32-E72D297353CC}">
                    <c16:uniqueId val="{0000000D-5D18-4F3E-9D5B-3C9FA37E0B39}"/>
                  </c:ext>
                </c:extLst>
              </c15:ser>
            </c15:filteredLineSeries>
          </c:ext>
        </c:extLst>
      </c:lineChart>
      <c:catAx>
        <c:axId val="28523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35456"/>
        <c:crosses val="autoZero"/>
        <c:auto val="1"/>
        <c:lblAlgn val="ctr"/>
        <c:lblOffset val="100"/>
        <c:noMultiLvlLbl val="0"/>
      </c:catAx>
      <c:valAx>
        <c:axId val="285235456"/>
        <c:scaling>
          <c:orientation val="minMax"/>
          <c:min val="6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33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95055185482669E-2"/>
          <c:y val="9.1252937840507767E-2"/>
          <c:w val="0.87799633741434668"/>
          <c:h val="0.4401709102010799"/>
        </c:manualLayout>
      </c:layout>
      <c:lineChart>
        <c:grouping val="standard"/>
        <c:varyColors val="0"/>
        <c:ser>
          <c:idx val="0"/>
          <c:order val="0"/>
          <c:tx>
            <c:strRef>
              <c:f>Sheet1!$B$6</c:f>
              <c:strCache>
                <c:ptCount val="1"/>
                <c:pt idx="0">
                  <c:v>2010</c:v>
                </c:pt>
              </c:strCache>
            </c:strRef>
          </c:tx>
          <c:marker>
            <c:symbol val="circle"/>
            <c:size val="5"/>
          </c:marker>
          <c:dLbls>
            <c:dLbl>
              <c:idx val="0"/>
              <c:layout>
                <c:manualLayout>
                  <c:x val="-5.4899820690730503E-2"/>
                  <c:y val="3.1547219880871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6B-409F-B011-E34B0345AF7F}"/>
                </c:ext>
              </c:extLst>
            </c:dLbl>
            <c:dLbl>
              <c:idx val="1"/>
              <c:layout>
                <c:manualLayout>
                  <c:x val="-4.6098940602721704E-2"/>
                  <c:y val="3.1547219880871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6B-409F-B011-E34B0345AF7F}"/>
                </c:ext>
              </c:extLst>
            </c:dLbl>
            <c:dLbl>
              <c:idx val="2"/>
              <c:layout>
                <c:manualLayout>
                  <c:x val="-4.8299160624723877E-2"/>
                  <c:y val="3.0226658060332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6B-409F-B011-E34B0345AF7F}"/>
                </c:ext>
              </c:extLst>
            </c:dLbl>
            <c:dLbl>
              <c:idx val="3"/>
              <c:layout>
                <c:manualLayout>
                  <c:x val="-5.4899876645854051E-2"/>
                  <c:y val="4.0302277660479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6B-409F-B011-E34B0345AF7F}"/>
                </c:ext>
              </c:extLst>
            </c:dLbl>
            <c:dLbl>
              <c:idx val="4"/>
              <c:layout>
                <c:manualLayout>
                  <c:x val="-6.9551548748181147E-2"/>
                  <c:y val="3.61202392979775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6B-409F-B011-E34B0345AF7F}"/>
                </c:ext>
              </c:extLst>
            </c:dLbl>
            <c:dLbl>
              <c:idx val="5"/>
              <c:layout>
                <c:manualLayout>
                  <c:x val="-4.3898720580719489E-2"/>
                  <c:y val="1.67922222348512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6B-409F-B011-E34B0345AF7F}"/>
                </c:ext>
              </c:extLst>
            </c:dLbl>
            <c:dLbl>
              <c:idx val="6"/>
              <c:layout>
                <c:manualLayout>
                  <c:x val="-4.1698500558717294E-2"/>
                  <c:y val="4.03018119364434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6B-409F-B011-E34B0345AF7F}"/>
                </c:ext>
              </c:extLst>
            </c:dLbl>
            <c:dLbl>
              <c:idx val="7"/>
              <c:layout>
                <c:manualLayout>
                  <c:x val="-5.4899766523273413E-2"/>
                  <c:y val="3.7832692826212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6B-409F-B011-E34B0345AF7F}"/>
                </c:ext>
              </c:extLst>
            </c:dLbl>
            <c:dLbl>
              <c:idx val="8"/>
              <c:layout>
                <c:manualLayout>
                  <c:x val="-4.1698453054449539E-2"/>
                  <c:y val="3.9976276253560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6B-409F-B011-E34B0345AF7F}"/>
                </c:ext>
              </c:extLst>
            </c:dLbl>
            <c:dLbl>
              <c:idx val="9"/>
              <c:layout>
                <c:manualLayout>
                  <c:x val="-4.609889087739083E-2"/>
                  <c:y val="-2.5432951411335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6B-409F-B011-E34B0345AF7F}"/>
                </c:ext>
              </c:extLst>
            </c:dLbl>
            <c:dLbl>
              <c:idx val="10"/>
              <c:layout>
                <c:manualLayout>
                  <c:x val="-3.9665374060288625E-2"/>
                  <c:y val="3.1938882579985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6B-409F-B011-E34B0345AF7F}"/>
                </c:ext>
              </c:extLst>
            </c:dLbl>
            <c:spPr>
              <a:noFill/>
              <a:ln>
                <a:noFill/>
              </a:ln>
              <a:effectLst/>
            </c:spPr>
            <c:txPr>
              <a:bodyPr/>
              <a:lstStyle/>
              <a:p>
                <a:pPr>
                  <a:defRPr sz="7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Sheet1!$A$7:$A$17</c:f>
              <c:strCache>
                <c:ptCount val="11"/>
                <c:pt idx="0">
                  <c:v>Kerinci</c:v>
                </c:pt>
                <c:pt idx="1">
                  <c:v>Merangin</c:v>
                </c:pt>
                <c:pt idx="2">
                  <c:v>Sarolangun</c:v>
                </c:pt>
                <c:pt idx="3">
                  <c:v>Batanghari</c:v>
                </c:pt>
                <c:pt idx="4">
                  <c:v>Muaro Jambi</c:v>
                </c:pt>
                <c:pt idx="5">
                  <c:v>Tanjung Jabung Timur</c:v>
                </c:pt>
                <c:pt idx="6">
                  <c:v>Tanjung Jabung Barat</c:v>
                </c:pt>
                <c:pt idx="7">
                  <c:v>Tebo</c:v>
                </c:pt>
                <c:pt idx="8">
                  <c:v>Bungo</c:v>
                </c:pt>
                <c:pt idx="9">
                  <c:v>Kota Jambi</c:v>
                </c:pt>
                <c:pt idx="10">
                  <c:v>Kota Sungai Penuh</c:v>
                </c:pt>
              </c:strCache>
            </c:strRef>
          </c:cat>
          <c:val>
            <c:numRef>
              <c:f>Sheet1!$B$7:$B$17</c:f>
              <c:numCache>
                <c:formatCode>General</c:formatCode>
                <c:ptCount val="11"/>
                <c:pt idx="0">
                  <c:v>65.16</c:v>
                </c:pt>
                <c:pt idx="1">
                  <c:v>63.849999999999994</c:v>
                </c:pt>
                <c:pt idx="2">
                  <c:v>64.64</c:v>
                </c:pt>
                <c:pt idx="3">
                  <c:v>65.669999999999987</c:v>
                </c:pt>
                <c:pt idx="4">
                  <c:v>62.839999999999996</c:v>
                </c:pt>
                <c:pt idx="5">
                  <c:v>57.21</c:v>
                </c:pt>
                <c:pt idx="6">
                  <c:v>61.49</c:v>
                </c:pt>
                <c:pt idx="7">
                  <c:v>63.620000000000012</c:v>
                </c:pt>
                <c:pt idx="8">
                  <c:v>66.28</c:v>
                </c:pt>
                <c:pt idx="9">
                  <c:v>72.23</c:v>
                </c:pt>
                <c:pt idx="10">
                  <c:v>69.910000000000025</c:v>
                </c:pt>
              </c:numCache>
            </c:numRef>
          </c:val>
          <c:smooth val="0"/>
          <c:extLst>
            <c:ext xmlns:c16="http://schemas.microsoft.com/office/drawing/2014/chart" uri="{C3380CC4-5D6E-409C-BE32-E72D297353CC}">
              <c16:uniqueId val="{0000000B-056B-409F-B011-E34B0345AF7F}"/>
            </c:ext>
          </c:extLst>
        </c:ser>
        <c:ser>
          <c:idx val="1"/>
          <c:order val="1"/>
          <c:tx>
            <c:strRef>
              <c:f>Sheet1!$C$6</c:f>
              <c:strCache>
                <c:ptCount val="1"/>
                <c:pt idx="0">
                  <c:v>2020</c:v>
                </c:pt>
              </c:strCache>
            </c:strRef>
          </c:tx>
          <c:marker>
            <c:symbol val="circle"/>
            <c:size val="5"/>
          </c:marker>
          <c:dLbls>
            <c:dLbl>
              <c:idx val="0"/>
              <c:layout>
                <c:manualLayout>
                  <c:x val="-5.4899876645854051E-2"/>
                  <c:y val="-4.0302277660479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6B-409F-B011-E34B0345AF7F}"/>
                </c:ext>
              </c:extLst>
            </c:dLbl>
            <c:dLbl>
              <c:idx val="1"/>
              <c:layout>
                <c:manualLayout>
                  <c:x val="-5.7087727546071845E-2"/>
                  <c:y val="-5.01001715702084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6B-409F-B011-E34B0345AF7F}"/>
                </c:ext>
              </c:extLst>
            </c:dLbl>
            <c:dLbl>
              <c:idx val="2"/>
              <c:layout>
                <c:manualLayout>
                  <c:x val="-5.1962199555543521E-2"/>
                  <c:y val="-4.7907859790430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6B-409F-B011-E34B0345AF7F}"/>
                </c:ext>
              </c:extLst>
            </c:dLbl>
            <c:dLbl>
              <c:idx val="3"/>
              <c:layout>
                <c:manualLayout>
                  <c:x val="-4.8299160624723877E-2"/>
                  <c:y val="-3.0226658060332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6B-409F-B011-E34B0345AF7F}"/>
                </c:ext>
              </c:extLst>
            </c:dLbl>
            <c:dLbl>
              <c:idx val="4"/>
              <c:layout>
                <c:manualLayout>
                  <c:x val="-4.1698500558717294E-2"/>
                  <c:y val="-3.1547219880871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6B-409F-B011-E34B0345AF7F}"/>
                </c:ext>
              </c:extLst>
            </c:dLbl>
            <c:dLbl>
              <c:idx val="5"/>
              <c:layout>
                <c:manualLayout>
                  <c:x val="-4.9024344166903412E-2"/>
                  <c:y val="2.25143551405859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6B-409F-B011-E34B0345AF7F}"/>
                </c:ext>
              </c:extLst>
            </c:dLbl>
            <c:dLbl>
              <c:idx val="6"/>
              <c:layout>
                <c:manualLayout>
                  <c:x val="-6.5888603191954137E-2"/>
                  <c:y val="-3.7832692826212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56B-409F-B011-E34B0345AF7F}"/>
                </c:ext>
              </c:extLst>
            </c:dLbl>
            <c:dLbl>
              <c:idx val="7"/>
              <c:layout>
                <c:manualLayout>
                  <c:x val="-5.4899766523273413E-2"/>
                  <c:y val="-5.63374006811759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56B-409F-B011-E34B0345AF7F}"/>
                </c:ext>
              </c:extLst>
            </c:dLbl>
            <c:dLbl>
              <c:idx val="8"/>
              <c:layout>
                <c:manualLayout>
                  <c:x val="-5.4899876645854051E-2"/>
                  <c:y val="-4.0302277660479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56B-409F-B011-E34B0345AF7F}"/>
                </c:ext>
              </c:extLst>
            </c:dLbl>
            <c:dLbl>
              <c:idx val="9"/>
              <c:layout>
                <c:manualLayout>
                  <c:x val="-6.2225657635727294E-2"/>
                  <c:y val="-4.1191236507467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56B-409F-B011-E34B0345AF7F}"/>
                </c:ext>
              </c:extLst>
            </c:dLbl>
            <c:dLbl>
              <c:idx val="10"/>
              <c:layout>
                <c:manualLayout>
                  <c:x val="-4.0390752648785527E-2"/>
                  <c:y val="-3.4025384223058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56B-409F-B011-E34B0345AF7F}"/>
                </c:ext>
              </c:extLst>
            </c:dLbl>
            <c:spPr>
              <a:noFill/>
              <a:ln>
                <a:noFill/>
              </a:ln>
              <a:effectLst/>
            </c:spPr>
            <c:txPr>
              <a:bodyPr/>
              <a:lstStyle/>
              <a:p>
                <a:pPr>
                  <a:defRPr sz="7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Sheet1!$A$7:$A$17</c:f>
              <c:strCache>
                <c:ptCount val="11"/>
                <c:pt idx="0">
                  <c:v>Kerinci</c:v>
                </c:pt>
                <c:pt idx="1">
                  <c:v>Merangin</c:v>
                </c:pt>
                <c:pt idx="2">
                  <c:v>Sarolangun</c:v>
                </c:pt>
                <c:pt idx="3">
                  <c:v>Batanghari</c:v>
                </c:pt>
                <c:pt idx="4">
                  <c:v>Muaro Jambi</c:v>
                </c:pt>
                <c:pt idx="5">
                  <c:v>Tanjung Jabung Timur</c:v>
                </c:pt>
                <c:pt idx="6">
                  <c:v>Tanjung Jabung Barat</c:v>
                </c:pt>
                <c:pt idx="7">
                  <c:v>Tebo</c:v>
                </c:pt>
                <c:pt idx="8">
                  <c:v>Bungo</c:v>
                </c:pt>
                <c:pt idx="9">
                  <c:v>Kota Jambi</c:v>
                </c:pt>
                <c:pt idx="10">
                  <c:v>Kota Sungai Penuh</c:v>
                </c:pt>
              </c:strCache>
            </c:strRef>
          </c:cat>
          <c:val>
            <c:numRef>
              <c:f>Sheet1!$C$7:$C$17</c:f>
              <c:numCache>
                <c:formatCode>General</c:formatCode>
                <c:ptCount val="11"/>
                <c:pt idx="0">
                  <c:v>73.31</c:v>
                </c:pt>
                <c:pt idx="1">
                  <c:v>69.19</c:v>
                </c:pt>
                <c:pt idx="2">
                  <c:v>69.86</c:v>
                </c:pt>
                <c:pt idx="3">
                  <c:v>69.84</c:v>
                </c:pt>
                <c:pt idx="4">
                  <c:v>69.179999999999978</c:v>
                </c:pt>
                <c:pt idx="5">
                  <c:v>64.45</c:v>
                </c:pt>
                <c:pt idx="6">
                  <c:v>67.540000000000006</c:v>
                </c:pt>
                <c:pt idx="7">
                  <c:v>69.14</c:v>
                </c:pt>
                <c:pt idx="8">
                  <c:v>69.92</c:v>
                </c:pt>
                <c:pt idx="9">
                  <c:v>78.36999999999999</c:v>
                </c:pt>
                <c:pt idx="10">
                  <c:v>75.42</c:v>
                </c:pt>
              </c:numCache>
            </c:numRef>
          </c:val>
          <c:smooth val="0"/>
          <c:extLst>
            <c:ext xmlns:c16="http://schemas.microsoft.com/office/drawing/2014/chart" uri="{C3380CC4-5D6E-409C-BE32-E72D297353CC}">
              <c16:uniqueId val="{00000017-056B-409F-B011-E34B0345AF7F}"/>
            </c:ext>
          </c:extLst>
        </c:ser>
        <c:dLbls>
          <c:showLegendKey val="0"/>
          <c:showVal val="0"/>
          <c:showCatName val="0"/>
          <c:showSerName val="0"/>
          <c:showPercent val="0"/>
          <c:showBubbleSize val="0"/>
        </c:dLbls>
        <c:marker val="1"/>
        <c:smooth val="0"/>
        <c:axId val="285438720"/>
        <c:axId val="285440256"/>
      </c:lineChart>
      <c:catAx>
        <c:axId val="285438720"/>
        <c:scaling>
          <c:orientation val="minMax"/>
        </c:scaling>
        <c:delete val="0"/>
        <c:axPos val="b"/>
        <c:numFmt formatCode="General" sourceLinked="0"/>
        <c:majorTickMark val="none"/>
        <c:minorTickMark val="none"/>
        <c:tickLblPos val="nextTo"/>
        <c:txPr>
          <a:bodyPr/>
          <a:lstStyle/>
          <a:p>
            <a:pPr>
              <a:defRPr sz="700">
                <a:latin typeface="Book Antiqua" pitchFamily="18" charset="0"/>
              </a:defRPr>
            </a:pPr>
            <a:endParaRPr lang="en-US"/>
          </a:p>
        </c:txPr>
        <c:crossAx val="285440256"/>
        <c:crosses val="autoZero"/>
        <c:auto val="1"/>
        <c:lblAlgn val="ctr"/>
        <c:lblOffset val="100"/>
        <c:noMultiLvlLbl val="0"/>
      </c:catAx>
      <c:valAx>
        <c:axId val="285440256"/>
        <c:scaling>
          <c:orientation val="minMax"/>
          <c:max val="80"/>
          <c:min val="55"/>
        </c:scaling>
        <c:delete val="0"/>
        <c:axPos val="l"/>
        <c:majorGridlines/>
        <c:numFmt formatCode="General" sourceLinked="1"/>
        <c:majorTickMark val="none"/>
        <c:minorTickMark val="none"/>
        <c:tickLblPos val="nextTo"/>
        <c:txPr>
          <a:bodyPr/>
          <a:lstStyle/>
          <a:p>
            <a:pPr>
              <a:defRPr sz="700">
                <a:latin typeface="Book Antiqua" pitchFamily="18" charset="0"/>
              </a:defRPr>
            </a:pPr>
            <a:endParaRPr lang="en-US"/>
          </a:p>
        </c:txPr>
        <c:crossAx val="285438720"/>
        <c:crosses val="autoZero"/>
        <c:crossBetween val="between"/>
      </c:valAx>
    </c:plotArea>
    <c:legend>
      <c:legendPos val="b"/>
      <c:legendEntry>
        <c:idx val="0"/>
        <c:txPr>
          <a:bodyPr/>
          <a:lstStyle/>
          <a:p>
            <a:pPr>
              <a:defRPr sz="900">
                <a:latin typeface="Book Antiqua" pitchFamily="18" charset="0"/>
              </a:defRPr>
            </a:pPr>
            <a:endParaRPr lang="en-US"/>
          </a:p>
        </c:txPr>
      </c:legendEntry>
      <c:legendEntry>
        <c:idx val="1"/>
        <c:txPr>
          <a:bodyPr/>
          <a:lstStyle/>
          <a:p>
            <a:pPr>
              <a:defRPr sz="900">
                <a:latin typeface="Book Antiqua" pitchFamily="18" charset="0"/>
              </a:defRPr>
            </a:pPr>
            <a:endParaRPr lang="en-US"/>
          </a:p>
        </c:txPr>
      </c:legendEntry>
      <c:layout>
        <c:manualLayout>
          <c:xMode val="edge"/>
          <c:yMode val="edge"/>
          <c:x val="0.31668731279680384"/>
          <c:y val="0.93255114272627226"/>
          <c:w val="0.35320197683691684"/>
          <c:h val="6.7449001226438501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398479788496919E-2"/>
          <c:y val="6.1683756071235836E-2"/>
          <c:w val="0.88727392439670283"/>
          <c:h val="0.48677256622633097"/>
        </c:manualLayout>
      </c:layout>
      <c:lineChart>
        <c:grouping val="standard"/>
        <c:varyColors val="0"/>
        <c:ser>
          <c:idx val="0"/>
          <c:order val="0"/>
          <c:tx>
            <c:strRef>
              <c:f>Sheet1!$B$24</c:f>
              <c:strCache>
                <c:ptCount val="1"/>
                <c:pt idx="0">
                  <c:v>2010</c:v>
                </c:pt>
              </c:strCache>
            </c:strRef>
          </c:tx>
          <c:marker>
            <c:symbol val="circle"/>
            <c:size val="5"/>
          </c:marker>
          <c:dLbls>
            <c:dLbl>
              <c:idx val="0"/>
              <c:layout>
                <c:manualLayout>
                  <c:x val="-6.5149675227413689E-2"/>
                  <c:y val="4.6735751949487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22-4674-9448-9EF64CDF1EC8}"/>
                </c:ext>
              </c:extLst>
            </c:dLbl>
            <c:dLbl>
              <c:idx val="1"/>
              <c:layout>
                <c:manualLayout>
                  <c:x val="-5.7440480616687023E-2"/>
                  <c:y val="4.9806083072292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22-4674-9448-9EF64CDF1EC8}"/>
                </c:ext>
              </c:extLst>
            </c:dLbl>
            <c:dLbl>
              <c:idx val="2"/>
              <c:layout>
                <c:manualLayout>
                  <c:x val="-5.5333503097487594E-2"/>
                  <c:y val="5.99154020104040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22-4674-9448-9EF64CDF1EC8}"/>
                </c:ext>
              </c:extLst>
            </c:dLbl>
            <c:dLbl>
              <c:idx val="3"/>
              <c:layout>
                <c:manualLayout>
                  <c:x val="-5.4280014337887934E-2"/>
                  <c:y val="5.54504811383195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22-4674-9448-9EF64CDF1EC8}"/>
                </c:ext>
              </c:extLst>
            </c:dLbl>
            <c:dLbl>
              <c:idx val="4"/>
              <c:layout>
                <c:manualLayout>
                  <c:x val="-4.9731286005960461E-2"/>
                  <c:y val="4.36396850130645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22-4674-9448-9EF64CDF1EC8}"/>
                </c:ext>
              </c:extLst>
            </c:dLbl>
            <c:dLbl>
              <c:idx val="5"/>
              <c:layout>
                <c:manualLayout>
                  <c:x val="-6.4609728093063937E-2"/>
                  <c:y val="6.1135668041023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22-4674-9448-9EF64CDF1EC8}"/>
                </c:ext>
              </c:extLst>
            </c:dLbl>
            <c:dLbl>
              <c:idx val="6"/>
              <c:layout>
                <c:manualLayout>
                  <c:x val="-5.9882220604777471E-2"/>
                  <c:y val="3.8169947736416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22-4674-9448-9EF64CDF1EC8}"/>
                </c:ext>
              </c:extLst>
            </c:dLbl>
            <c:dLbl>
              <c:idx val="7"/>
              <c:layout>
                <c:manualLayout>
                  <c:x val="-4.5876688700597038E-2"/>
                  <c:y val="4.05683827274815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22-4674-9448-9EF64CDF1EC8}"/>
                </c:ext>
              </c:extLst>
            </c:dLbl>
            <c:dLbl>
              <c:idx val="8"/>
              <c:layout>
                <c:manualLayout>
                  <c:x val="-6.5149675227413689E-2"/>
                  <c:y val="5.6255575081322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22-4674-9448-9EF64CDF1EC8}"/>
                </c:ext>
              </c:extLst>
            </c:dLbl>
            <c:dLbl>
              <c:idx val="9"/>
              <c:layout>
                <c:manualLayout>
                  <c:x val="-4.9731286005960461E-2"/>
                  <c:y val="5.2902635590105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22-4674-9448-9EF64CDF1EC8}"/>
                </c:ext>
              </c:extLst>
            </c:dLbl>
            <c:dLbl>
              <c:idx val="10"/>
              <c:layout>
                <c:manualLayout>
                  <c:x val="-4.6895273626329274E-2"/>
                  <c:y val="8.46907356412370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22-4674-9448-9EF64CDF1EC8}"/>
                </c:ext>
              </c:extLst>
            </c:dLbl>
            <c:dLbl>
              <c:idx val="11"/>
              <c:layout>
                <c:manualLayout>
                  <c:x val="-2.2526630866461879E-3"/>
                  <c:y val="5.0395578878569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22-4674-9448-9EF64CDF1EC8}"/>
                </c:ext>
              </c:extLst>
            </c:dLbl>
            <c:spPr>
              <a:noFill/>
              <a:ln>
                <a:noFill/>
              </a:ln>
              <a:effectLst/>
            </c:spPr>
            <c:txPr>
              <a:bodyPr/>
              <a:lstStyle/>
              <a:p>
                <a:pPr>
                  <a:defRPr sz="7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Sheet1!$A$25:$A$36</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Sheet1!$B$25:$B$36</c:f>
              <c:numCache>
                <c:formatCode>General</c:formatCode>
                <c:ptCount val="12"/>
                <c:pt idx="0">
                  <c:v>69.89</c:v>
                </c:pt>
                <c:pt idx="1">
                  <c:v>68.75</c:v>
                </c:pt>
                <c:pt idx="2">
                  <c:v>70.86999999999999</c:v>
                </c:pt>
                <c:pt idx="3">
                  <c:v>68.61</c:v>
                </c:pt>
                <c:pt idx="4">
                  <c:v>69.510000000000005</c:v>
                </c:pt>
                <c:pt idx="5">
                  <c:v>70.599999999999994</c:v>
                </c:pt>
                <c:pt idx="6">
                  <c:v>64.760000000000005</c:v>
                </c:pt>
                <c:pt idx="7">
                  <c:v>67.440000000000026</c:v>
                </c:pt>
                <c:pt idx="8">
                  <c:v>69.63</c:v>
                </c:pt>
                <c:pt idx="9">
                  <c:v>66.61</c:v>
                </c:pt>
                <c:pt idx="10">
                  <c:v>72.25</c:v>
                </c:pt>
                <c:pt idx="11">
                  <c:v>71.349999999999994</c:v>
                </c:pt>
              </c:numCache>
            </c:numRef>
          </c:val>
          <c:smooth val="0"/>
          <c:extLst>
            <c:ext xmlns:c16="http://schemas.microsoft.com/office/drawing/2014/chart" uri="{C3380CC4-5D6E-409C-BE32-E72D297353CC}">
              <c16:uniqueId val="{0000000C-CE22-4674-9448-9EF64CDF1EC8}"/>
            </c:ext>
          </c:extLst>
        </c:ser>
        <c:ser>
          <c:idx val="1"/>
          <c:order val="1"/>
          <c:tx>
            <c:strRef>
              <c:f>Sheet1!$C$24</c:f>
              <c:strCache>
                <c:ptCount val="1"/>
                <c:pt idx="0">
                  <c:v>2020</c:v>
                </c:pt>
              </c:strCache>
            </c:strRef>
          </c:tx>
          <c:marker>
            <c:symbol val="circle"/>
            <c:size val="5"/>
          </c:marker>
          <c:dLbls>
            <c:dLbl>
              <c:idx val="0"/>
              <c:layout>
                <c:manualLayout>
                  <c:x val="-4.9731286005960461E-2"/>
                  <c:y val="-4.68435510178514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22-4674-9448-9EF64CDF1EC8}"/>
                </c:ext>
              </c:extLst>
            </c:dLbl>
            <c:dLbl>
              <c:idx val="1"/>
              <c:layout>
                <c:manualLayout>
                  <c:x val="-5.3585883311323683E-2"/>
                  <c:y val="-4.0676667377234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E22-4674-9448-9EF64CDF1EC8}"/>
                </c:ext>
              </c:extLst>
            </c:dLbl>
            <c:dLbl>
              <c:idx val="2"/>
              <c:layout>
                <c:manualLayout>
                  <c:x val="-4.9731286005960461E-2"/>
                  <c:y val="-4.3598896176386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E22-4674-9448-9EF64CDF1EC8}"/>
                </c:ext>
              </c:extLst>
            </c:dLbl>
            <c:dLbl>
              <c:idx val="3"/>
              <c:layout>
                <c:manualLayout>
                  <c:x val="-4.5876722157135376E-2"/>
                  <c:y val="-4.0784313725490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E22-4674-9448-9EF64CDF1EC8}"/>
                </c:ext>
              </c:extLst>
            </c:dLbl>
            <c:dLbl>
              <c:idx val="4"/>
              <c:layout>
                <c:manualLayout>
                  <c:x val="-4.5876688700597038E-2"/>
                  <c:y val="-4.0568868308870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22-4674-9448-9EF64CDF1EC8}"/>
                </c:ext>
              </c:extLst>
            </c:dLbl>
            <c:dLbl>
              <c:idx val="5"/>
              <c:layout>
                <c:manualLayout>
                  <c:x val="-4.5876722157135376E-2"/>
                  <c:y val="-2.50980392156862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E22-4674-9448-9EF64CDF1EC8}"/>
                </c:ext>
              </c:extLst>
            </c:dLbl>
            <c:dLbl>
              <c:idx val="6"/>
              <c:layout>
                <c:manualLayout>
                  <c:x val="-4.3569917082164025E-2"/>
                  <c:y val="-5.01960784313725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E22-4674-9448-9EF64CDF1EC8}"/>
                </c:ext>
              </c:extLst>
            </c:dLbl>
            <c:dLbl>
              <c:idx val="7"/>
              <c:layout>
                <c:manualLayout>
                  <c:x val="-4.5876722157135376E-2"/>
                  <c:y val="-3.7647305851474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E22-4674-9448-9EF64CDF1EC8}"/>
                </c:ext>
              </c:extLst>
            </c:dLbl>
            <c:dLbl>
              <c:idx val="8"/>
              <c:layout>
                <c:manualLayout>
                  <c:x val="-4.5876688700597038E-2"/>
                  <c:y val="-4.97657798170039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E22-4674-9448-9EF64CDF1EC8}"/>
                </c:ext>
              </c:extLst>
            </c:dLbl>
            <c:dLbl>
              <c:idx val="9"/>
              <c:layout>
                <c:manualLayout>
                  <c:x val="-6.7456363378654696E-2"/>
                  <c:y val="-6.5559314495041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E22-4674-9448-9EF64CDF1EC8}"/>
                </c:ext>
              </c:extLst>
            </c:dLbl>
            <c:dLbl>
              <c:idx val="10"/>
              <c:layout>
                <c:manualLayout>
                  <c:x val="-6.9004272532777008E-2"/>
                  <c:y val="-2.8127787540661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E22-4674-9448-9EF64CDF1EC8}"/>
                </c:ext>
              </c:extLst>
            </c:dLbl>
            <c:dLbl>
              <c:idx val="11"/>
              <c:layout>
                <c:manualLayout>
                  <c:x val="-1.5828736903095119E-2"/>
                  <c:y val="-4.0784466445597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E22-4674-9448-9EF64CDF1EC8}"/>
                </c:ext>
              </c:extLst>
            </c:dLbl>
            <c:spPr>
              <a:noFill/>
              <a:ln>
                <a:noFill/>
              </a:ln>
              <a:effectLst/>
            </c:spPr>
            <c:txPr>
              <a:bodyPr/>
              <a:lstStyle/>
              <a:p>
                <a:pPr>
                  <a:defRPr sz="7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Sheet1!$A$25:$A$36</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Sheet1!$C$25:$C$36</c:f>
              <c:numCache>
                <c:formatCode>General</c:formatCode>
                <c:ptCount val="12"/>
                <c:pt idx="0">
                  <c:v>71.16</c:v>
                </c:pt>
                <c:pt idx="1">
                  <c:v>69.930000000000007</c:v>
                </c:pt>
                <c:pt idx="2">
                  <c:v>71.260000000000005</c:v>
                </c:pt>
                <c:pt idx="3">
                  <c:v>69.169999999999987</c:v>
                </c:pt>
                <c:pt idx="4">
                  <c:v>70.56</c:v>
                </c:pt>
                <c:pt idx="5">
                  <c:v>71.27</c:v>
                </c:pt>
                <c:pt idx="6">
                  <c:v>66.23</c:v>
                </c:pt>
                <c:pt idx="7">
                  <c:v>68.11999999999999</c:v>
                </c:pt>
                <c:pt idx="8">
                  <c:v>69.989999999999995</c:v>
                </c:pt>
                <c:pt idx="9">
                  <c:v>67.739999999999995</c:v>
                </c:pt>
                <c:pt idx="10">
                  <c:v>72.649999999999991</c:v>
                </c:pt>
                <c:pt idx="11">
                  <c:v>72.11</c:v>
                </c:pt>
              </c:numCache>
            </c:numRef>
          </c:val>
          <c:smooth val="0"/>
          <c:extLst>
            <c:ext xmlns:c16="http://schemas.microsoft.com/office/drawing/2014/chart" uri="{C3380CC4-5D6E-409C-BE32-E72D297353CC}">
              <c16:uniqueId val="{00000019-CE22-4674-9448-9EF64CDF1EC8}"/>
            </c:ext>
          </c:extLst>
        </c:ser>
        <c:dLbls>
          <c:showLegendKey val="0"/>
          <c:showVal val="0"/>
          <c:showCatName val="0"/>
          <c:showSerName val="0"/>
          <c:showPercent val="0"/>
          <c:showBubbleSize val="0"/>
        </c:dLbls>
        <c:marker val="1"/>
        <c:smooth val="0"/>
        <c:axId val="271743232"/>
        <c:axId val="271757312"/>
      </c:lineChart>
      <c:catAx>
        <c:axId val="271743232"/>
        <c:scaling>
          <c:orientation val="minMax"/>
        </c:scaling>
        <c:delete val="0"/>
        <c:axPos val="b"/>
        <c:numFmt formatCode="General" sourceLinked="0"/>
        <c:majorTickMark val="out"/>
        <c:minorTickMark val="none"/>
        <c:tickLblPos val="nextTo"/>
        <c:txPr>
          <a:bodyPr/>
          <a:lstStyle/>
          <a:p>
            <a:pPr>
              <a:defRPr sz="700">
                <a:latin typeface="Book Antiqua" pitchFamily="18" charset="0"/>
              </a:defRPr>
            </a:pPr>
            <a:endParaRPr lang="en-US"/>
          </a:p>
        </c:txPr>
        <c:crossAx val="271757312"/>
        <c:crosses val="autoZero"/>
        <c:auto val="1"/>
        <c:lblAlgn val="ctr"/>
        <c:lblOffset val="100"/>
        <c:noMultiLvlLbl val="0"/>
      </c:catAx>
      <c:valAx>
        <c:axId val="271757312"/>
        <c:scaling>
          <c:orientation val="minMax"/>
          <c:max val="80"/>
          <c:min val="60"/>
        </c:scaling>
        <c:delete val="0"/>
        <c:axPos val="l"/>
        <c:majorGridlines/>
        <c:numFmt formatCode="General" sourceLinked="1"/>
        <c:majorTickMark val="out"/>
        <c:minorTickMark val="none"/>
        <c:tickLblPos val="nextTo"/>
        <c:txPr>
          <a:bodyPr/>
          <a:lstStyle/>
          <a:p>
            <a:pPr>
              <a:defRPr sz="700">
                <a:latin typeface="Book Antiqua" pitchFamily="18" charset="0"/>
              </a:defRPr>
            </a:pPr>
            <a:endParaRPr lang="en-US"/>
          </a:p>
        </c:txPr>
        <c:crossAx val="271743232"/>
        <c:crosses val="autoZero"/>
        <c:crossBetween val="between"/>
      </c:valAx>
    </c:plotArea>
    <c:legend>
      <c:legendPos val="b"/>
      <c:legendEntry>
        <c:idx val="0"/>
        <c:txPr>
          <a:bodyPr/>
          <a:lstStyle/>
          <a:p>
            <a:pPr>
              <a:defRPr sz="800">
                <a:latin typeface="Book Antiqua" pitchFamily="18" charset="0"/>
              </a:defRPr>
            </a:pPr>
            <a:endParaRPr lang="en-US"/>
          </a:p>
        </c:txPr>
      </c:legendEntry>
      <c:legendEntry>
        <c:idx val="1"/>
        <c:txPr>
          <a:bodyPr/>
          <a:lstStyle/>
          <a:p>
            <a:pPr>
              <a:defRPr sz="800">
                <a:latin typeface="Book Antiqua" pitchFamily="18" charset="0"/>
              </a:defRPr>
            </a:pPr>
            <a:endParaRPr lang="en-US"/>
          </a:p>
        </c:txPr>
      </c:legendEntry>
      <c:layout>
        <c:manualLayout>
          <c:xMode val="edge"/>
          <c:yMode val="edge"/>
          <c:x val="0.36607189992073458"/>
          <c:y val="0.9318435814590279"/>
          <c:w val="0.32287199671479144"/>
          <c:h val="6.815640579706167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77400129321405E-2"/>
          <c:y val="6.4831912708493533E-2"/>
          <c:w val="0.89240332587622517"/>
          <c:h val="0.43864646726229023"/>
        </c:manualLayout>
      </c:layout>
      <c:lineChart>
        <c:grouping val="standard"/>
        <c:varyColors val="0"/>
        <c:ser>
          <c:idx val="0"/>
          <c:order val="0"/>
          <c:tx>
            <c:strRef>
              <c:f>Sheet1!$B$40</c:f>
              <c:strCache>
                <c:ptCount val="1"/>
                <c:pt idx="0">
                  <c:v>2010</c:v>
                </c:pt>
              </c:strCache>
            </c:strRef>
          </c:tx>
          <c:marker>
            <c:symbol val="circle"/>
            <c:size val="5"/>
          </c:marker>
          <c:dLbls>
            <c:dLbl>
              <c:idx val="0"/>
              <c:layout>
                <c:manualLayout>
                  <c:x val="0"/>
                  <c:y val="3.00229734847500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80-4F63-A853-CD3BC10FD37F}"/>
                </c:ext>
              </c:extLst>
            </c:dLbl>
            <c:dLbl>
              <c:idx val="1"/>
              <c:layout>
                <c:manualLayout>
                  <c:x val="0"/>
                  <c:y val="3.00229734847500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80-4F63-A853-CD3BC10FD37F}"/>
                </c:ext>
              </c:extLst>
            </c:dLbl>
            <c:dLbl>
              <c:idx val="2"/>
              <c:layout>
                <c:manualLayout>
                  <c:x val="-3.8268919008503936E-3"/>
                  <c:y val="3.60275681817000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80-4F63-A853-CD3BC10FD37F}"/>
                </c:ext>
              </c:extLst>
            </c:dLbl>
            <c:dLbl>
              <c:idx val="3"/>
              <c:layout>
                <c:manualLayout>
                  <c:x val="0"/>
                  <c:y val="3.00229734847500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80-4F63-A853-CD3BC10FD37F}"/>
                </c:ext>
              </c:extLst>
            </c:dLbl>
            <c:dLbl>
              <c:idx val="4"/>
              <c:layout>
                <c:manualLayout>
                  <c:x val="0"/>
                  <c:y val="3.60275681817000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80-4F63-A853-CD3BC10FD37F}"/>
                </c:ext>
              </c:extLst>
            </c:dLbl>
            <c:dLbl>
              <c:idx val="5"/>
              <c:layout>
                <c:manualLayout>
                  <c:x val="0"/>
                  <c:y val="3.60275681817000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80-4F63-A853-CD3BC10FD37F}"/>
                </c:ext>
              </c:extLst>
            </c:dLbl>
            <c:dLbl>
              <c:idx val="6"/>
              <c:layout>
                <c:manualLayout>
                  <c:x val="0"/>
                  <c:y val="3.00229734847500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80-4F63-A853-CD3BC10FD37F}"/>
                </c:ext>
              </c:extLst>
            </c:dLbl>
            <c:dLbl>
              <c:idx val="7"/>
              <c:layout>
                <c:manualLayout>
                  <c:x val="7.0158874367620153E-17"/>
                  <c:y val="3.00229734847500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80-4F63-A853-CD3BC10FD37F}"/>
                </c:ext>
              </c:extLst>
            </c:dLbl>
            <c:dLbl>
              <c:idx val="8"/>
              <c:layout>
                <c:manualLayout>
                  <c:x val="0"/>
                  <c:y val="2.40183787878000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80-4F63-A853-CD3BC10FD37F}"/>
                </c:ext>
              </c:extLst>
            </c:dLbl>
            <c:dLbl>
              <c:idx val="9"/>
              <c:layout>
                <c:manualLayout>
                  <c:x val="-3.8268919008503616E-3"/>
                  <c:y val="3.60275681817000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80-4F63-A853-CD3BC10FD37F}"/>
                </c:ext>
              </c:extLst>
            </c:dLbl>
            <c:dLbl>
              <c:idx val="10"/>
              <c:layout>
                <c:manualLayout>
                  <c:x val="0"/>
                  <c:y val="4.20321628786499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80-4F63-A853-CD3BC10FD37F}"/>
                </c:ext>
              </c:extLst>
            </c:dLbl>
            <c:dLbl>
              <c:idx val="11"/>
              <c:layout>
                <c:manualLayout>
                  <c:x val="0"/>
                  <c:y val="4.20321628786499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80-4F63-A853-CD3BC10FD37F}"/>
                </c:ext>
              </c:extLst>
            </c:dLbl>
            <c:spPr>
              <a:noFill/>
              <a:ln>
                <a:noFill/>
              </a:ln>
              <a:effectLst/>
            </c:spPr>
            <c:txPr>
              <a:bodyPr/>
              <a:lstStyle/>
              <a:p>
                <a:pPr>
                  <a:defRPr sz="7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Sheet1!$A$41:$A$52</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Sheet1!$B$41:$B$52</c:f>
              <c:numCache>
                <c:formatCode>General</c:formatCode>
                <c:ptCount val="12"/>
                <c:pt idx="0">
                  <c:v>11.34</c:v>
                </c:pt>
                <c:pt idx="1">
                  <c:v>12.26</c:v>
                </c:pt>
                <c:pt idx="2">
                  <c:v>10.46</c:v>
                </c:pt>
                <c:pt idx="3">
                  <c:v>10.62</c:v>
                </c:pt>
                <c:pt idx="4">
                  <c:v>11.57</c:v>
                </c:pt>
                <c:pt idx="5">
                  <c:v>11.350000000000021</c:v>
                </c:pt>
                <c:pt idx="6">
                  <c:v>10.42</c:v>
                </c:pt>
                <c:pt idx="7">
                  <c:v>10.950000000000006</c:v>
                </c:pt>
                <c:pt idx="8">
                  <c:v>10.65</c:v>
                </c:pt>
                <c:pt idx="9">
                  <c:v>11.5</c:v>
                </c:pt>
                <c:pt idx="10">
                  <c:v>12.81</c:v>
                </c:pt>
                <c:pt idx="11">
                  <c:v>13.73</c:v>
                </c:pt>
              </c:numCache>
            </c:numRef>
          </c:val>
          <c:smooth val="0"/>
          <c:extLst>
            <c:ext xmlns:c16="http://schemas.microsoft.com/office/drawing/2014/chart" uri="{C3380CC4-5D6E-409C-BE32-E72D297353CC}">
              <c16:uniqueId val="{0000000C-7180-4F63-A853-CD3BC10FD37F}"/>
            </c:ext>
          </c:extLst>
        </c:ser>
        <c:ser>
          <c:idx val="1"/>
          <c:order val="1"/>
          <c:tx>
            <c:strRef>
              <c:f>Sheet1!$C$40</c:f>
              <c:strCache>
                <c:ptCount val="1"/>
                <c:pt idx="0">
                  <c:v>2020</c:v>
                </c:pt>
              </c:strCache>
            </c:strRef>
          </c:tx>
          <c:marker>
            <c:symbol val="circle"/>
            <c:size val="5"/>
          </c:marker>
          <c:dLbls>
            <c:dLbl>
              <c:idx val="0"/>
              <c:layout>
                <c:manualLayout>
                  <c:x val="-3.8268919008503616E-3"/>
                  <c:y val="-4.80367575755999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80-4F63-A853-CD3BC10FD37F}"/>
                </c:ext>
              </c:extLst>
            </c:dLbl>
            <c:dLbl>
              <c:idx val="1"/>
              <c:layout>
                <c:manualLayout>
                  <c:x val="0"/>
                  <c:y val="-3.00229734847500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80-4F63-A853-CD3BC10FD37F}"/>
                </c:ext>
              </c:extLst>
            </c:dLbl>
            <c:dLbl>
              <c:idx val="2"/>
              <c:layout>
                <c:manualLayout>
                  <c:x val="-3.5079437183810193E-17"/>
                  <c:y val="-4.20321628786499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80-4F63-A853-CD3BC10FD37F}"/>
                </c:ext>
              </c:extLst>
            </c:dLbl>
            <c:dLbl>
              <c:idx val="3"/>
              <c:layout>
                <c:manualLayout>
                  <c:x val="0"/>
                  <c:y val="-3.60275681817000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80-4F63-A853-CD3BC10FD37F}"/>
                </c:ext>
              </c:extLst>
            </c:dLbl>
            <c:dLbl>
              <c:idx val="4"/>
              <c:layout>
                <c:manualLayout>
                  <c:x val="0"/>
                  <c:y val="-4.20321628786499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80-4F63-A853-CD3BC10FD37F}"/>
                </c:ext>
              </c:extLst>
            </c:dLbl>
            <c:dLbl>
              <c:idx val="5"/>
              <c:layout>
                <c:manualLayout>
                  <c:x val="3.8268919008503616E-3"/>
                  <c:y val="-4.80367575755999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180-4F63-A853-CD3BC10FD37F}"/>
                </c:ext>
              </c:extLst>
            </c:dLbl>
            <c:dLbl>
              <c:idx val="6"/>
              <c:layout>
                <c:manualLayout>
                  <c:x val="0"/>
                  <c:y val="-3.60275681817000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180-4F63-A853-CD3BC10FD37F}"/>
                </c:ext>
              </c:extLst>
            </c:dLbl>
            <c:dLbl>
              <c:idx val="7"/>
              <c:layout>
                <c:manualLayout>
                  <c:x val="7.0158874367620153E-17"/>
                  <c:y val="-4.80367575755999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180-4F63-A853-CD3BC10FD37F}"/>
                </c:ext>
              </c:extLst>
            </c:dLbl>
            <c:dLbl>
              <c:idx val="8"/>
              <c:layout>
                <c:manualLayout>
                  <c:x val="3.8268919008503616E-3"/>
                  <c:y val="-5.40418250752820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180-4F63-A853-CD3BC10FD37F}"/>
                </c:ext>
              </c:extLst>
            </c:dLbl>
            <c:dLbl>
              <c:idx val="9"/>
              <c:layout>
                <c:manualLayout>
                  <c:x val="0"/>
                  <c:y val="-6.0045946969499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180-4F63-A853-CD3BC10FD37F}"/>
                </c:ext>
              </c:extLst>
            </c:dLbl>
            <c:dLbl>
              <c:idx val="10"/>
              <c:layout>
                <c:manualLayout>
                  <c:x val="0"/>
                  <c:y val="-4.20321628786499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180-4F63-A853-CD3BC10FD37F}"/>
                </c:ext>
              </c:extLst>
            </c:dLbl>
            <c:dLbl>
              <c:idx val="11"/>
              <c:layout>
                <c:manualLayout>
                  <c:x val="0"/>
                  <c:y val="-4.80367575755999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180-4F63-A853-CD3BC10FD37F}"/>
                </c:ext>
              </c:extLst>
            </c:dLbl>
            <c:spPr>
              <a:noFill/>
              <a:ln>
                <a:noFill/>
              </a:ln>
              <a:effectLst/>
            </c:spPr>
            <c:txPr>
              <a:bodyPr/>
              <a:lstStyle/>
              <a:p>
                <a:pPr>
                  <a:defRPr sz="7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Sheet1!$A$41:$A$52</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Sheet1!$C$41:$C$52</c:f>
              <c:numCache>
                <c:formatCode>General</c:formatCode>
                <c:ptCount val="12"/>
                <c:pt idx="0">
                  <c:v>12.98</c:v>
                </c:pt>
                <c:pt idx="1">
                  <c:v>13.870000000000006</c:v>
                </c:pt>
                <c:pt idx="2">
                  <c:v>11.99</c:v>
                </c:pt>
                <c:pt idx="3">
                  <c:v>12.27</c:v>
                </c:pt>
                <c:pt idx="4">
                  <c:v>12.92</c:v>
                </c:pt>
                <c:pt idx="5">
                  <c:v>12.83</c:v>
                </c:pt>
                <c:pt idx="6">
                  <c:v>12.16</c:v>
                </c:pt>
                <c:pt idx="7">
                  <c:v>12.62</c:v>
                </c:pt>
                <c:pt idx="8">
                  <c:v>12.6</c:v>
                </c:pt>
                <c:pt idx="9">
                  <c:v>12.62</c:v>
                </c:pt>
                <c:pt idx="10">
                  <c:v>15.1</c:v>
                </c:pt>
                <c:pt idx="11">
                  <c:v>14.79</c:v>
                </c:pt>
              </c:numCache>
            </c:numRef>
          </c:val>
          <c:smooth val="0"/>
          <c:extLst>
            <c:ext xmlns:c16="http://schemas.microsoft.com/office/drawing/2014/chart" uri="{C3380CC4-5D6E-409C-BE32-E72D297353CC}">
              <c16:uniqueId val="{00000019-7180-4F63-A853-CD3BC10FD37F}"/>
            </c:ext>
          </c:extLst>
        </c:ser>
        <c:dLbls>
          <c:showLegendKey val="0"/>
          <c:showVal val="1"/>
          <c:showCatName val="0"/>
          <c:showSerName val="0"/>
          <c:showPercent val="0"/>
          <c:showBubbleSize val="0"/>
        </c:dLbls>
        <c:marker val="1"/>
        <c:smooth val="0"/>
        <c:axId val="285667328"/>
        <c:axId val="285668864"/>
      </c:lineChart>
      <c:catAx>
        <c:axId val="285667328"/>
        <c:scaling>
          <c:orientation val="minMax"/>
        </c:scaling>
        <c:delete val="0"/>
        <c:axPos val="b"/>
        <c:numFmt formatCode="General" sourceLinked="0"/>
        <c:majorTickMark val="out"/>
        <c:minorTickMark val="none"/>
        <c:tickLblPos val="nextTo"/>
        <c:txPr>
          <a:bodyPr/>
          <a:lstStyle/>
          <a:p>
            <a:pPr>
              <a:defRPr sz="700">
                <a:latin typeface="Book Antiqua" pitchFamily="18" charset="0"/>
              </a:defRPr>
            </a:pPr>
            <a:endParaRPr lang="en-US"/>
          </a:p>
        </c:txPr>
        <c:crossAx val="285668864"/>
        <c:crosses val="autoZero"/>
        <c:auto val="1"/>
        <c:lblAlgn val="ctr"/>
        <c:lblOffset val="100"/>
        <c:noMultiLvlLbl val="0"/>
      </c:catAx>
      <c:valAx>
        <c:axId val="285668864"/>
        <c:scaling>
          <c:orientation val="minMax"/>
          <c:min val="5"/>
        </c:scaling>
        <c:delete val="0"/>
        <c:axPos val="l"/>
        <c:majorGridlines/>
        <c:numFmt formatCode="General" sourceLinked="1"/>
        <c:majorTickMark val="out"/>
        <c:minorTickMark val="none"/>
        <c:tickLblPos val="nextTo"/>
        <c:txPr>
          <a:bodyPr/>
          <a:lstStyle/>
          <a:p>
            <a:pPr>
              <a:defRPr sz="700">
                <a:latin typeface="Book Antiqua" pitchFamily="18" charset="0"/>
              </a:defRPr>
            </a:pPr>
            <a:endParaRPr lang="en-US"/>
          </a:p>
        </c:txPr>
        <c:crossAx val="285667328"/>
        <c:crosses val="autoZero"/>
        <c:crossBetween val="between"/>
      </c:valAx>
    </c:plotArea>
    <c:legend>
      <c:legendPos val="b"/>
      <c:legendEntry>
        <c:idx val="0"/>
        <c:txPr>
          <a:bodyPr/>
          <a:lstStyle/>
          <a:p>
            <a:pPr>
              <a:defRPr sz="800">
                <a:latin typeface="Book Antiqua" pitchFamily="18" charset="0"/>
              </a:defRPr>
            </a:pPr>
            <a:endParaRPr lang="en-US"/>
          </a:p>
        </c:txPr>
      </c:legendEntry>
      <c:legendEntry>
        <c:idx val="1"/>
        <c:txPr>
          <a:bodyPr/>
          <a:lstStyle/>
          <a:p>
            <a:pPr>
              <a:defRPr sz="800">
                <a:latin typeface="Book Antiqua" pitchFamily="18" charset="0"/>
              </a:defRPr>
            </a:pPr>
            <a:endParaRPr lang="en-US"/>
          </a:p>
        </c:txPr>
      </c:legendEntry>
      <c:layout>
        <c:manualLayout>
          <c:xMode val="edge"/>
          <c:yMode val="edge"/>
          <c:x val="0.31595456919669196"/>
          <c:y val="0.9316300184486126"/>
          <c:w val="0.36809193603315726"/>
          <c:h val="6.5889323820179702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645832266235797E-2"/>
          <c:y val="3.0668274899372513E-2"/>
          <c:w val="0.83422977007204979"/>
          <c:h val="0.39916892799075471"/>
        </c:manualLayout>
      </c:layout>
      <c:lineChart>
        <c:grouping val="standard"/>
        <c:varyColors val="0"/>
        <c:ser>
          <c:idx val="0"/>
          <c:order val="0"/>
          <c:tx>
            <c:strRef>
              <c:f>Sheet1!$B$57</c:f>
              <c:strCache>
                <c:ptCount val="1"/>
                <c:pt idx="0">
                  <c:v>2010</c:v>
                </c:pt>
              </c:strCache>
            </c:strRef>
          </c:tx>
          <c:marker>
            <c:symbol val="circle"/>
            <c:size val="5"/>
          </c:marker>
          <c:dLbls>
            <c:dLbl>
              <c:idx val="0"/>
              <c:layout>
                <c:manualLayout>
                  <c:x val="0"/>
                  <c:y val="3.49756753816686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D8-449E-B002-3E130F21942C}"/>
                </c:ext>
              </c:extLst>
            </c:dLbl>
            <c:dLbl>
              <c:idx val="1"/>
              <c:layout>
                <c:manualLayout>
                  <c:x val="-3.7660509420061133E-3"/>
                  <c:y val="4.6634233842224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D8-449E-B002-3E130F21942C}"/>
                </c:ext>
              </c:extLst>
            </c:dLbl>
            <c:dLbl>
              <c:idx val="2"/>
              <c:layout>
                <c:manualLayout>
                  <c:x val="0"/>
                  <c:y val="5.24635130725029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D8-449E-B002-3E130F21942C}"/>
                </c:ext>
              </c:extLst>
            </c:dLbl>
            <c:dLbl>
              <c:idx val="3"/>
              <c:layout>
                <c:manualLayout>
                  <c:x val="3.797447158672306E-3"/>
                  <c:y val="4.08049546119468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D8-449E-B002-3E130F21942C}"/>
                </c:ext>
              </c:extLst>
            </c:dLbl>
            <c:dLbl>
              <c:idx val="4"/>
              <c:layout>
                <c:manualLayout>
                  <c:x val="3.797447158672306E-3"/>
                  <c:y val="5.82927923027810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D8-449E-B002-3E130F21942C}"/>
                </c:ext>
              </c:extLst>
            </c:dLbl>
            <c:dLbl>
              <c:idx val="5"/>
              <c:layout>
                <c:manualLayout>
                  <c:x val="-3.797447158672306E-3"/>
                  <c:y val="5.82927923027810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D8-449E-B002-3E130F21942C}"/>
                </c:ext>
              </c:extLst>
            </c:dLbl>
            <c:dLbl>
              <c:idx val="6"/>
              <c:layout>
                <c:manualLayout>
                  <c:x val="0"/>
                  <c:y val="5.82927923027810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D8-449E-B002-3E130F21942C}"/>
                </c:ext>
              </c:extLst>
            </c:dLbl>
            <c:dLbl>
              <c:idx val="7"/>
              <c:layout>
                <c:manualLayout>
                  <c:x val="0"/>
                  <c:y val="4.6634233842224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D8-449E-B002-3E130F21942C}"/>
                </c:ext>
              </c:extLst>
            </c:dLbl>
            <c:dLbl>
              <c:idx val="8"/>
              <c:layout>
                <c:manualLayout>
                  <c:x val="0"/>
                  <c:y val="4.6634233842224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D8-449E-B002-3E130F21942C}"/>
                </c:ext>
              </c:extLst>
            </c:dLbl>
            <c:dLbl>
              <c:idx val="9"/>
              <c:layout>
                <c:manualLayout>
                  <c:x val="0"/>
                  <c:y val="5.24635130725029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D8-449E-B002-3E130F21942C}"/>
                </c:ext>
              </c:extLst>
            </c:dLbl>
            <c:dLbl>
              <c:idx val="10"/>
              <c:layout>
                <c:manualLayout>
                  <c:x val="3.797447158672306E-3"/>
                  <c:y val="4.6634233842224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D8-449E-B002-3E130F21942C}"/>
                </c:ext>
              </c:extLst>
            </c:dLbl>
            <c:dLbl>
              <c:idx val="11"/>
              <c:layout>
                <c:manualLayout>
                  <c:x val="3.797447158672306E-3"/>
                  <c:y val="4.6634233842224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D8-449E-B002-3E130F21942C}"/>
                </c:ext>
              </c:extLst>
            </c:dLbl>
            <c:spPr>
              <a:noFill/>
              <a:ln>
                <a:noFill/>
              </a:ln>
              <a:effectLst/>
            </c:spPr>
            <c:txPr>
              <a:bodyPr/>
              <a:lstStyle/>
              <a:p>
                <a:pPr>
                  <a:defRPr sz="8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Sheet1!$A$58:$A$69</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Sheet1!$B$58:$B$69</c:f>
              <c:numCache>
                <c:formatCode>General</c:formatCode>
                <c:ptCount val="12"/>
                <c:pt idx="0">
                  <c:v>7.34</c:v>
                </c:pt>
                <c:pt idx="1">
                  <c:v>6.85</c:v>
                </c:pt>
                <c:pt idx="2">
                  <c:v>6.58</c:v>
                </c:pt>
                <c:pt idx="3">
                  <c:v>6.59</c:v>
                </c:pt>
                <c:pt idx="4">
                  <c:v>7.18</c:v>
                </c:pt>
                <c:pt idx="5">
                  <c:v>7.99</c:v>
                </c:pt>
                <c:pt idx="6">
                  <c:v>4.87</c:v>
                </c:pt>
                <c:pt idx="7">
                  <c:v>6.72</c:v>
                </c:pt>
                <c:pt idx="8">
                  <c:v>6.58</c:v>
                </c:pt>
                <c:pt idx="9">
                  <c:v>7.7700000000000014</c:v>
                </c:pt>
                <c:pt idx="10">
                  <c:v>9.620000000000001</c:v>
                </c:pt>
                <c:pt idx="11">
                  <c:v>8.7200000000000006</c:v>
                </c:pt>
              </c:numCache>
            </c:numRef>
          </c:val>
          <c:smooth val="0"/>
          <c:extLst>
            <c:ext xmlns:c16="http://schemas.microsoft.com/office/drawing/2014/chart" uri="{C3380CC4-5D6E-409C-BE32-E72D297353CC}">
              <c16:uniqueId val="{0000000C-42D8-449E-B002-3E130F21942C}"/>
            </c:ext>
          </c:extLst>
        </c:ser>
        <c:ser>
          <c:idx val="1"/>
          <c:order val="1"/>
          <c:tx>
            <c:strRef>
              <c:f>Sheet1!$C$57</c:f>
              <c:strCache>
                <c:ptCount val="1"/>
                <c:pt idx="0">
                  <c:v>2020</c:v>
                </c:pt>
              </c:strCache>
            </c:strRef>
          </c:tx>
          <c:marker>
            <c:symbol val="circle"/>
            <c:size val="5"/>
          </c:marker>
          <c:dLbls>
            <c:dLbl>
              <c:idx val="0"/>
              <c:layout>
                <c:manualLayout>
                  <c:x val="0"/>
                  <c:y val="-4.08049546119468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D8-449E-B002-3E130F21942C}"/>
                </c:ext>
              </c:extLst>
            </c:dLbl>
            <c:dLbl>
              <c:idx val="1"/>
              <c:layout>
                <c:manualLayout>
                  <c:x val="0"/>
                  <c:y val="-5.24635130725029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D8-449E-B002-3E130F21942C}"/>
                </c:ext>
              </c:extLst>
            </c:dLbl>
            <c:dLbl>
              <c:idx val="2"/>
              <c:layout>
                <c:manualLayout>
                  <c:x val="0"/>
                  <c:y val="-4.6634233842224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D8-449E-B002-3E130F21942C}"/>
                </c:ext>
              </c:extLst>
            </c:dLbl>
            <c:dLbl>
              <c:idx val="3"/>
              <c:layout>
                <c:manualLayout>
                  <c:x val="0"/>
                  <c:y val="-5.24635130725029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D8-449E-B002-3E130F21942C}"/>
                </c:ext>
              </c:extLst>
            </c:dLbl>
            <c:dLbl>
              <c:idx val="4"/>
              <c:layout>
                <c:manualLayout>
                  <c:x val="3.797447158672306E-3"/>
                  <c:y val="-4.08049546119468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2D8-449E-B002-3E130F21942C}"/>
                </c:ext>
              </c:extLst>
            </c:dLbl>
            <c:dLbl>
              <c:idx val="5"/>
              <c:layout>
                <c:manualLayout>
                  <c:x val="0"/>
                  <c:y val="-4.66342338422248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2D8-449E-B002-3E130F21942C}"/>
                </c:ext>
              </c:extLst>
            </c:dLbl>
            <c:dLbl>
              <c:idx val="6"/>
              <c:layout>
                <c:manualLayout>
                  <c:x val="0"/>
                  <c:y val="-5.82927923027809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2D8-449E-B002-3E130F21942C}"/>
                </c:ext>
              </c:extLst>
            </c:dLbl>
            <c:dLbl>
              <c:idx val="7"/>
              <c:layout>
                <c:manualLayout>
                  <c:x val="0"/>
                  <c:y val="-5.24635130725029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2D8-449E-B002-3E130F21942C}"/>
                </c:ext>
              </c:extLst>
            </c:dLbl>
            <c:dLbl>
              <c:idx val="8"/>
              <c:layout>
                <c:manualLayout>
                  <c:x val="0"/>
                  <c:y val="-3.49756753816686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2D8-449E-B002-3E130F21942C}"/>
                </c:ext>
              </c:extLst>
            </c:dLbl>
            <c:dLbl>
              <c:idx val="9"/>
              <c:layout>
                <c:manualLayout>
                  <c:x val="0"/>
                  <c:y val="-4.08049546119468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2D8-449E-B002-3E130F21942C}"/>
                </c:ext>
              </c:extLst>
            </c:dLbl>
            <c:dLbl>
              <c:idx val="10"/>
              <c:layout>
                <c:manualLayout>
                  <c:x val="-3.797447158672306E-3"/>
                  <c:y val="-2.91463961513905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2D8-449E-B002-3E130F21942C}"/>
                </c:ext>
              </c:extLst>
            </c:dLbl>
            <c:dLbl>
              <c:idx val="11"/>
              <c:layout>
                <c:manualLayout>
                  <c:x val="-3.797447158672306E-3"/>
                  <c:y val="-3.49756753816686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2D8-449E-B002-3E130F21942C}"/>
                </c:ext>
              </c:extLst>
            </c:dLbl>
            <c:spPr>
              <a:noFill/>
              <a:ln>
                <a:noFill/>
              </a:ln>
              <a:effectLst/>
            </c:spPr>
            <c:txPr>
              <a:bodyPr/>
              <a:lstStyle/>
              <a:p>
                <a:pPr>
                  <a:defRPr sz="700">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Sheet1!$A$58:$A$69</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Sheet1!$C$58:$C$69</c:f>
              <c:numCache>
                <c:formatCode>General</c:formatCode>
                <c:ptCount val="12"/>
                <c:pt idx="0">
                  <c:v>8.5500000000000007</c:v>
                </c:pt>
                <c:pt idx="1">
                  <c:v>8.5500000000000007</c:v>
                </c:pt>
                <c:pt idx="2">
                  <c:v>7.76</c:v>
                </c:pt>
                <c:pt idx="3">
                  <c:v>7.87</c:v>
                </c:pt>
                <c:pt idx="4">
                  <c:v>8.11</c:v>
                </c:pt>
                <c:pt idx="5">
                  <c:v>8.57</c:v>
                </c:pt>
                <c:pt idx="6">
                  <c:v>6.7</c:v>
                </c:pt>
                <c:pt idx="7">
                  <c:v>7.71</c:v>
                </c:pt>
                <c:pt idx="8">
                  <c:v>7.58</c:v>
                </c:pt>
                <c:pt idx="9">
                  <c:v>8.27</c:v>
                </c:pt>
                <c:pt idx="10">
                  <c:v>10.92</c:v>
                </c:pt>
                <c:pt idx="11">
                  <c:v>10.32</c:v>
                </c:pt>
              </c:numCache>
            </c:numRef>
          </c:val>
          <c:smooth val="0"/>
          <c:extLst>
            <c:ext xmlns:c16="http://schemas.microsoft.com/office/drawing/2014/chart" uri="{C3380CC4-5D6E-409C-BE32-E72D297353CC}">
              <c16:uniqueId val="{00000019-42D8-449E-B002-3E130F21942C}"/>
            </c:ext>
          </c:extLst>
        </c:ser>
        <c:dLbls>
          <c:showLegendKey val="0"/>
          <c:showVal val="0"/>
          <c:showCatName val="0"/>
          <c:showSerName val="0"/>
          <c:showPercent val="0"/>
          <c:showBubbleSize val="0"/>
        </c:dLbls>
        <c:marker val="1"/>
        <c:smooth val="0"/>
        <c:axId val="285726592"/>
        <c:axId val="285728128"/>
      </c:lineChart>
      <c:catAx>
        <c:axId val="285726592"/>
        <c:scaling>
          <c:orientation val="minMax"/>
        </c:scaling>
        <c:delete val="0"/>
        <c:axPos val="b"/>
        <c:numFmt formatCode="General" sourceLinked="0"/>
        <c:majorTickMark val="out"/>
        <c:minorTickMark val="none"/>
        <c:tickLblPos val="nextTo"/>
        <c:txPr>
          <a:bodyPr/>
          <a:lstStyle/>
          <a:p>
            <a:pPr>
              <a:defRPr sz="700">
                <a:latin typeface="Book Antiqua" pitchFamily="18" charset="0"/>
              </a:defRPr>
            </a:pPr>
            <a:endParaRPr lang="en-US"/>
          </a:p>
        </c:txPr>
        <c:crossAx val="285728128"/>
        <c:crosses val="autoZero"/>
        <c:auto val="1"/>
        <c:lblAlgn val="ctr"/>
        <c:lblOffset val="100"/>
        <c:noMultiLvlLbl val="0"/>
      </c:catAx>
      <c:valAx>
        <c:axId val="285728128"/>
        <c:scaling>
          <c:orientation val="minMax"/>
        </c:scaling>
        <c:delete val="0"/>
        <c:axPos val="l"/>
        <c:majorGridlines/>
        <c:numFmt formatCode="General" sourceLinked="1"/>
        <c:majorTickMark val="out"/>
        <c:minorTickMark val="none"/>
        <c:tickLblPos val="nextTo"/>
        <c:txPr>
          <a:bodyPr/>
          <a:lstStyle/>
          <a:p>
            <a:pPr>
              <a:defRPr sz="700">
                <a:latin typeface="Book Antiqua" pitchFamily="18" charset="0"/>
              </a:defRPr>
            </a:pPr>
            <a:endParaRPr lang="en-US"/>
          </a:p>
        </c:txPr>
        <c:crossAx val="285726592"/>
        <c:crosses val="autoZero"/>
        <c:crossBetween val="between"/>
      </c:valAx>
    </c:plotArea>
    <c:legend>
      <c:legendPos val="b"/>
      <c:legendEntry>
        <c:idx val="0"/>
        <c:txPr>
          <a:bodyPr/>
          <a:lstStyle/>
          <a:p>
            <a:pPr>
              <a:defRPr sz="800">
                <a:latin typeface="Book Antiqua" pitchFamily="18" charset="0"/>
              </a:defRPr>
            </a:pPr>
            <a:endParaRPr lang="en-US"/>
          </a:p>
        </c:txPr>
      </c:legendEntry>
      <c:legendEntry>
        <c:idx val="1"/>
        <c:txPr>
          <a:bodyPr/>
          <a:lstStyle/>
          <a:p>
            <a:pPr>
              <a:defRPr sz="800">
                <a:latin typeface="Book Antiqua" pitchFamily="18" charset="0"/>
              </a:defRPr>
            </a:pPr>
            <a:endParaRPr lang="en-US"/>
          </a:p>
        </c:txPr>
      </c:legendEntry>
      <c:layout>
        <c:manualLayout>
          <c:xMode val="edge"/>
          <c:yMode val="edge"/>
          <c:x val="0.34586808736258429"/>
          <c:y val="0.89996912725786804"/>
          <c:w val="0.30826357243397501"/>
          <c:h val="9.3291475350426922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9626901575865"/>
          <c:y val="0.10338020065619712"/>
          <c:w val="0.85488302086778989"/>
          <c:h val="0.43364376369386276"/>
        </c:manualLayout>
      </c:layout>
      <c:lineChart>
        <c:grouping val="standard"/>
        <c:varyColors val="0"/>
        <c:ser>
          <c:idx val="0"/>
          <c:order val="0"/>
          <c:tx>
            <c:strRef>
              <c:f>Sheet1!$B$76</c:f>
              <c:strCache>
                <c:ptCount val="1"/>
                <c:pt idx="0">
                  <c:v>2010</c:v>
                </c:pt>
              </c:strCache>
            </c:strRef>
          </c:tx>
          <c:marker>
            <c:symbol val="circle"/>
            <c:size val="5"/>
          </c:marker>
          <c:dLbls>
            <c:dLbl>
              <c:idx val="0"/>
              <c:layout>
                <c:manualLayout>
                  <c:x val="-3.0012157925175632E-7"/>
                  <c:y val="3.44724159599143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F1-4A12-90E3-47A99EF881B5}"/>
                </c:ext>
              </c:extLst>
            </c:dLbl>
            <c:dLbl>
              <c:idx val="1"/>
              <c:layout>
                <c:manualLayout>
                  <c:x val="0"/>
                  <c:y val="2.87270132999285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F1-4A12-90E3-47A99EF881B5}"/>
                </c:ext>
              </c:extLst>
            </c:dLbl>
            <c:dLbl>
              <c:idx val="2"/>
              <c:layout>
                <c:manualLayout>
                  <c:x val="0"/>
                  <c:y val="3.44724159599143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F1-4A12-90E3-47A99EF881B5}"/>
                </c:ext>
              </c:extLst>
            </c:dLbl>
            <c:dLbl>
              <c:idx val="3"/>
              <c:layout>
                <c:manualLayout>
                  <c:x val="-6.6442715944229014E-2"/>
                  <c:y val="5.55557817525107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F1-4A12-90E3-47A99EF881B5}"/>
                </c:ext>
              </c:extLst>
            </c:dLbl>
            <c:dLbl>
              <c:idx val="4"/>
              <c:layout>
                <c:manualLayout>
                  <c:x val="0"/>
                  <c:y val="4.0217818619899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F1-4A12-90E3-47A99EF881B5}"/>
                </c:ext>
              </c:extLst>
            </c:dLbl>
            <c:dLbl>
              <c:idx val="5"/>
              <c:layout>
                <c:manualLayout>
                  <c:x val="-3.8115440564972882E-3"/>
                  <c:y val="4.0217818619899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F1-4A12-90E3-47A99EF881B5}"/>
                </c:ext>
              </c:extLst>
            </c:dLbl>
            <c:dLbl>
              <c:idx val="6"/>
              <c:layout>
                <c:manualLayout>
                  <c:x val="6.9877500471602491E-17"/>
                  <c:y val="3.44724159599143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F1-4A12-90E3-47A99EF881B5}"/>
                </c:ext>
              </c:extLst>
            </c:dLbl>
            <c:dLbl>
              <c:idx val="7"/>
              <c:layout>
                <c:manualLayout>
                  <c:x val="7.6230881129945877E-3"/>
                  <c:y val="4.0217818619899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F1-4A12-90E3-47A99EF881B5}"/>
                </c:ext>
              </c:extLst>
            </c:dLbl>
            <c:dLbl>
              <c:idx val="8"/>
              <c:layout>
                <c:manualLayout>
                  <c:x val="0"/>
                  <c:y val="5.17086239398715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F1-4A12-90E3-47A99EF881B5}"/>
                </c:ext>
              </c:extLst>
            </c:dLbl>
            <c:dLbl>
              <c:idx val="9"/>
              <c:layout>
                <c:manualLayout>
                  <c:x val="0"/>
                  <c:y val="5.17086239398715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F1-4A12-90E3-47A99EF881B5}"/>
                </c:ext>
              </c:extLst>
            </c:dLbl>
            <c:dLbl>
              <c:idx val="10"/>
              <c:layout>
                <c:manualLayout>
                  <c:x val="0"/>
                  <c:y val="3.44724159599143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F1-4A12-90E3-47A99EF881B5}"/>
                </c:ext>
              </c:extLst>
            </c:dLbl>
            <c:dLbl>
              <c:idx val="11"/>
              <c:layout>
                <c:manualLayout>
                  <c:x val="1.5246176225989172E-2"/>
                  <c:y val="4.59632212798858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F1-4A12-90E3-47A99EF881B5}"/>
                </c:ext>
              </c:extLst>
            </c:dLbl>
            <c:spPr>
              <a:noFill/>
              <a:ln>
                <a:noFill/>
              </a:ln>
              <a:effectLst/>
            </c:spPr>
            <c:txPr>
              <a:bodyPr/>
              <a:lstStyle/>
              <a:p>
                <a:pPr>
                  <a:defRPr sz="7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Sheet1!$A$77:$A$88</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Sheet1!$B$77:$B$88</c:f>
              <c:numCache>
                <c:formatCode>General</c:formatCode>
                <c:ptCount val="12"/>
                <c:pt idx="0">
                  <c:v>8478</c:v>
                </c:pt>
                <c:pt idx="1">
                  <c:v>8405</c:v>
                </c:pt>
                <c:pt idx="2">
                  <c:v>8517</c:v>
                </c:pt>
                <c:pt idx="3">
                  <c:v>10009</c:v>
                </c:pt>
                <c:pt idx="4">
                  <c:v>8834</c:v>
                </c:pt>
                <c:pt idx="5">
                  <c:v>6457</c:v>
                </c:pt>
                <c:pt idx="6">
                  <c:v>7220</c:v>
                </c:pt>
                <c:pt idx="7">
                  <c:v>7244</c:v>
                </c:pt>
                <c:pt idx="8">
                  <c:v>8581</c:v>
                </c:pt>
                <c:pt idx="9">
                  <c:v>10027</c:v>
                </c:pt>
                <c:pt idx="10">
                  <c:v>9718</c:v>
                </c:pt>
                <c:pt idx="11">
                  <c:v>8273</c:v>
                </c:pt>
              </c:numCache>
            </c:numRef>
          </c:val>
          <c:smooth val="0"/>
          <c:extLst>
            <c:ext xmlns:c16="http://schemas.microsoft.com/office/drawing/2014/chart" uri="{C3380CC4-5D6E-409C-BE32-E72D297353CC}">
              <c16:uniqueId val="{0000000C-72F1-4A12-90E3-47A99EF881B5}"/>
            </c:ext>
          </c:extLst>
        </c:ser>
        <c:ser>
          <c:idx val="1"/>
          <c:order val="1"/>
          <c:tx>
            <c:strRef>
              <c:f>Sheet1!$C$76</c:f>
              <c:strCache>
                <c:ptCount val="1"/>
                <c:pt idx="0">
                  <c:v>2020</c:v>
                </c:pt>
              </c:strCache>
            </c:strRef>
          </c:tx>
          <c:marker>
            <c:symbol val="circle"/>
            <c:size val="5"/>
          </c:marker>
          <c:dLbls>
            <c:dLbl>
              <c:idx val="0"/>
              <c:layout>
                <c:manualLayout>
                  <c:x val="-3.8115440564972882E-3"/>
                  <c:y val="-4.0217818619899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F1-4A12-90E3-47A99EF881B5}"/>
                </c:ext>
              </c:extLst>
            </c:dLbl>
            <c:dLbl>
              <c:idx val="1"/>
              <c:layout>
                <c:manualLayout>
                  <c:x val="0"/>
                  <c:y val="-5.74540265998571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F1-4A12-90E3-47A99EF881B5}"/>
                </c:ext>
              </c:extLst>
            </c:dLbl>
            <c:dLbl>
              <c:idx val="2"/>
              <c:layout>
                <c:manualLayout>
                  <c:x val="-3.0012157925175632E-7"/>
                  <c:y val="-5.17086239398715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2F1-4A12-90E3-47A99EF881B5}"/>
                </c:ext>
              </c:extLst>
            </c:dLbl>
            <c:dLbl>
              <c:idx val="3"/>
              <c:layout>
                <c:manualLayout>
                  <c:x val="-5.8819627831234608E-2"/>
                  <c:y val="-4.2782439697022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F1-4A12-90E3-47A99EF881B5}"/>
                </c:ext>
              </c:extLst>
            </c:dLbl>
            <c:dLbl>
              <c:idx val="4"/>
              <c:layout>
                <c:manualLayout>
                  <c:x val="1.1434632169491858E-2"/>
                  <c:y val="-5.17086239398715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2F1-4A12-90E3-47A99EF881B5}"/>
                </c:ext>
              </c:extLst>
            </c:dLbl>
            <c:dLbl>
              <c:idx val="5"/>
              <c:layout>
                <c:manualLayout>
                  <c:x val="0"/>
                  <c:y val="-4.59632212798858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2F1-4A12-90E3-47A99EF881B5}"/>
                </c:ext>
              </c:extLst>
            </c:dLbl>
            <c:dLbl>
              <c:idx val="6"/>
              <c:layout>
                <c:manualLayout>
                  <c:x val="6.9877500471602491E-17"/>
                  <c:y val="-2.87270132999285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2F1-4A12-90E3-47A99EF881B5}"/>
                </c:ext>
              </c:extLst>
            </c:dLbl>
            <c:dLbl>
              <c:idx val="7"/>
              <c:layout>
                <c:manualLayout>
                  <c:x val="-7.6230881129945877E-3"/>
                  <c:y val="-4.5963221279885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2F1-4A12-90E3-47A99EF881B5}"/>
                </c:ext>
              </c:extLst>
            </c:dLbl>
            <c:dLbl>
              <c:idx val="8"/>
              <c:layout>
                <c:manualLayout>
                  <c:x val="-3.8115440564972882E-3"/>
                  <c:y val="-4.59632212798857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2F1-4A12-90E3-47A99EF881B5}"/>
                </c:ext>
              </c:extLst>
            </c:dLbl>
            <c:dLbl>
              <c:idx val="9"/>
              <c:layout>
                <c:manualLayout>
                  <c:x val="0"/>
                  <c:y val="-4.5963221279885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2F1-4A12-90E3-47A99EF881B5}"/>
                </c:ext>
              </c:extLst>
            </c:dLbl>
            <c:dLbl>
              <c:idx val="10"/>
              <c:layout>
                <c:manualLayout>
                  <c:x val="7.6230881129945877E-3"/>
                  <c:y val="-4.0217818619899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2F1-4A12-90E3-47A99EF881B5}"/>
                </c:ext>
              </c:extLst>
            </c:dLbl>
            <c:dLbl>
              <c:idx val="11"/>
              <c:layout>
                <c:manualLayout>
                  <c:x val="1.5246176225989172E-2"/>
                  <c:y val="-4.59632212798858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2F1-4A12-90E3-47A99EF881B5}"/>
                </c:ext>
              </c:extLst>
            </c:dLbl>
            <c:spPr>
              <a:noFill/>
              <a:ln>
                <a:noFill/>
              </a:ln>
              <a:effectLst/>
            </c:spPr>
            <c:txPr>
              <a:bodyPr/>
              <a:lstStyle/>
              <a:p>
                <a:pPr>
                  <a:defRPr sz="7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Sheet1!$A$77:$A$88</c:f>
              <c:strCache>
                <c:ptCount val="12"/>
                <c:pt idx="0">
                  <c:v>Provinsi Jambi</c:v>
                </c:pt>
                <c:pt idx="1">
                  <c:v>Kerinci</c:v>
                </c:pt>
                <c:pt idx="2">
                  <c:v>Merangin</c:v>
                </c:pt>
                <c:pt idx="3">
                  <c:v>Sarolangun</c:v>
                </c:pt>
                <c:pt idx="4">
                  <c:v>Batanghari</c:v>
                </c:pt>
                <c:pt idx="5">
                  <c:v>Muaro Jambi</c:v>
                </c:pt>
                <c:pt idx="6">
                  <c:v>Tanjung Jabung Timur</c:v>
                </c:pt>
                <c:pt idx="7">
                  <c:v>Tanjung Jabung Barat</c:v>
                </c:pt>
                <c:pt idx="8">
                  <c:v>Tebo</c:v>
                </c:pt>
                <c:pt idx="9">
                  <c:v>Bungo</c:v>
                </c:pt>
                <c:pt idx="10">
                  <c:v>Kota Jambi</c:v>
                </c:pt>
                <c:pt idx="11">
                  <c:v>Kota Sungai Penuh</c:v>
                </c:pt>
              </c:strCache>
            </c:strRef>
          </c:cat>
          <c:val>
            <c:numRef>
              <c:f>Sheet1!$C$77:$C$88</c:f>
              <c:numCache>
                <c:formatCode>General</c:formatCode>
                <c:ptCount val="12"/>
                <c:pt idx="0">
                  <c:v>10392</c:v>
                </c:pt>
                <c:pt idx="1">
                  <c:v>9995</c:v>
                </c:pt>
                <c:pt idx="2">
                  <c:v>10279</c:v>
                </c:pt>
                <c:pt idx="3">
                  <c:v>11616</c:v>
                </c:pt>
                <c:pt idx="4">
                  <c:v>9825</c:v>
                </c:pt>
                <c:pt idx="5">
                  <c:v>8556</c:v>
                </c:pt>
                <c:pt idx="6">
                  <c:v>9026</c:v>
                </c:pt>
                <c:pt idx="7">
                  <c:v>9480</c:v>
                </c:pt>
                <c:pt idx="8">
                  <c:v>10389</c:v>
                </c:pt>
                <c:pt idx="9">
                  <c:v>11471</c:v>
                </c:pt>
                <c:pt idx="10">
                  <c:v>12055</c:v>
                </c:pt>
                <c:pt idx="11">
                  <c:v>10248</c:v>
                </c:pt>
              </c:numCache>
            </c:numRef>
          </c:val>
          <c:smooth val="0"/>
          <c:extLst>
            <c:ext xmlns:c16="http://schemas.microsoft.com/office/drawing/2014/chart" uri="{C3380CC4-5D6E-409C-BE32-E72D297353CC}">
              <c16:uniqueId val="{00000019-72F1-4A12-90E3-47A99EF881B5}"/>
            </c:ext>
          </c:extLst>
        </c:ser>
        <c:dLbls>
          <c:showLegendKey val="0"/>
          <c:showVal val="0"/>
          <c:showCatName val="0"/>
          <c:showSerName val="0"/>
          <c:showPercent val="0"/>
          <c:showBubbleSize val="0"/>
        </c:dLbls>
        <c:marker val="1"/>
        <c:smooth val="0"/>
        <c:axId val="285945856"/>
        <c:axId val="285947392"/>
      </c:lineChart>
      <c:catAx>
        <c:axId val="285945856"/>
        <c:scaling>
          <c:orientation val="minMax"/>
        </c:scaling>
        <c:delete val="0"/>
        <c:axPos val="b"/>
        <c:numFmt formatCode="General" sourceLinked="0"/>
        <c:majorTickMark val="out"/>
        <c:minorTickMark val="none"/>
        <c:tickLblPos val="nextTo"/>
        <c:txPr>
          <a:bodyPr/>
          <a:lstStyle/>
          <a:p>
            <a:pPr>
              <a:defRPr sz="700">
                <a:latin typeface="Book Antiqua" pitchFamily="18" charset="0"/>
              </a:defRPr>
            </a:pPr>
            <a:endParaRPr lang="en-US"/>
          </a:p>
        </c:txPr>
        <c:crossAx val="285947392"/>
        <c:crosses val="autoZero"/>
        <c:auto val="1"/>
        <c:lblAlgn val="ctr"/>
        <c:lblOffset val="100"/>
        <c:noMultiLvlLbl val="0"/>
      </c:catAx>
      <c:valAx>
        <c:axId val="285947392"/>
        <c:scaling>
          <c:orientation val="minMax"/>
        </c:scaling>
        <c:delete val="0"/>
        <c:axPos val="l"/>
        <c:majorGridlines/>
        <c:numFmt formatCode="General" sourceLinked="1"/>
        <c:majorTickMark val="out"/>
        <c:minorTickMark val="none"/>
        <c:tickLblPos val="nextTo"/>
        <c:txPr>
          <a:bodyPr/>
          <a:lstStyle/>
          <a:p>
            <a:pPr>
              <a:defRPr sz="700">
                <a:latin typeface="Book Antiqua" pitchFamily="18" charset="0"/>
              </a:defRPr>
            </a:pPr>
            <a:endParaRPr lang="en-US"/>
          </a:p>
        </c:txPr>
        <c:crossAx val="285945856"/>
        <c:crosses val="autoZero"/>
        <c:crossBetween val="between"/>
      </c:valAx>
    </c:plotArea>
    <c:legend>
      <c:legendPos val="b"/>
      <c:legendEntry>
        <c:idx val="0"/>
        <c:txPr>
          <a:bodyPr/>
          <a:lstStyle/>
          <a:p>
            <a:pPr>
              <a:defRPr sz="800">
                <a:latin typeface="Book Antiqua" pitchFamily="18" charset="0"/>
              </a:defRPr>
            </a:pPr>
            <a:endParaRPr lang="en-US"/>
          </a:p>
        </c:txPr>
      </c:legendEntry>
      <c:legendEntry>
        <c:idx val="1"/>
        <c:txPr>
          <a:bodyPr/>
          <a:lstStyle/>
          <a:p>
            <a:pPr>
              <a:defRPr sz="800">
                <a:latin typeface="Book Antiqua" pitchFamily="18" charset="0"/>
              </a:defRPr>
            </a:pPr>
            <a:endParaRPr lang="en-US"/>
          </a:p>
        </c:txPr>
      </c:legendEntry>
      <c:layout>
        <c:manualLayout>
          <c:xMode val="edge"/>
          <c:yMode val="edge"/>
          <c:x val="0.29750006001536444"/>
          <c:y val="0.92483203745097753"/>
          <c:w val="0.40499987996927317"/>
          <c:h val="7.516796254902255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58FF-6EE3-47DB-B4DA-BE61EAF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25150</Words>
  <Characters>143358</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2021-12-19T05:58:00Z</dcterms:created>
  <dcterms:modified xsi:type="dcterms:W3CDTF">2021-12-19T14:58:00Z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e09418ed-4fe4-3ff7-93ca-80ddbb79c17a</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