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8E" w:rsidRPr="00973368" w:rsidRDefault="00622955" w:rsidP="0028015C">
      <w:pPr>
        <w:tabs>
          <w:tab w:val="left" w:pos="1025"/>
        </w:tabs>
        <w:spacing w:before="120" w:after="480" w:line="240" w:lineRule="auto"/>
        <w:jc w:val="center"/>
        <w:rPr>
          <w:rFonts w:ascii="Times New Roman" w:hAnsi="Times New Roman" w:cs="Times New Roman"/>
          <w:b/>
          <w:sz w:val="28"/>
          <w:szCs w:val="28"/>
        </w:rPr>
      </w:pPr>
      <w:r>
        <w:rPr>
          <w:rFonts w:ascii="Times New Roman" w:hAnsi="Times New Roman" w:cs="Times New Roman"/>
          <w:b/>
          <w:sz w:val="28"/>
          <w:szCs w:val="28"/>
        </w:rPr>
        <w:t>COMPARING MODEL-</w:t>
      </w:r>
      <w:r w:rsidR="00973368">
        <w:rPr>
          <w:rFonts w:ascii="Times New Roman" w:hAnsi="Times New Roman" w:cs="Times New Roman"/>
          <w:b/>
          <w:sz w:val="28"/>
          <w:szCs w:val="28"/>
        </w:rPr>
        <w:t>BUILDING PROCESS: A MODEL PROSPECTIVE TEACHERS USED IN INTERPRETING STUDENT’S MATHEMATICAL THINKING</w:t>
      </w:r>
    </w:p>
    <w:p w:rsidR="00C942D3" w:rsidRDefault="00C942D3" w:rsidP="002052FE">
      <w:pPr>
        <w:tabs>
          <w:tab w:val="left" w:pos="8222"/>
        </w:tabs>
        <w:spacing w:after="0" w:line="240" w:lineRule="auto"/>
        <w:ind w:left="737" w:right="737"/>
        <w:jc w:val="center"/>
        <w:rPr>
          <w:rFonts w:ascii="Times New Roman" w:hAnsi="Times New Roman" w:cs="Times New Roman"/>
          <w:b/>
          <w:i/>
          <w:sz w:val="20"/>
          <w:szCs w:val="20"/>
        </w:rPr>
      </w:pPr>
    </w:p>
    <w:p w:rsidR="00C942D3" w:rsidRDefault="00C942D3" w:rsidP="002052FE">
      <w:pPr>
        <w:tabs>
          <w:tab w:val="left" w:pos="8222"/>
        </w:tabs>
        <w:spacing w:after="0" w:line="240" w:lineRule="auto"/>
        <w:ind w:left="737" w:right="737"/>
        <w:jc w:val="center"/>
        <w:rPr>
          <w:rFonts w:ascii="Times New Roman" w:hAnsi="Times New Roman" w:cs="Times New Roman"/>
          <w:b/>
          <w:i/>
          <w:sz w:val="20"/>
          <w:szCs w:val="20"/>
        </w:rPr>
      </w:pPr>
    </w:p>
    <w:p w:rsidR="00C942D3" w:rsidRDefault="00C942D3" w:rsidP="002052FE">
      <w:pPr>
        <w:tabs>
          <w:tab w:val="left" w:pos="8222"/>
        </w:tabs>
        <w:spacing w:after="0" w:line="240" w:lineRule="auto"/>
        <w:ind w:left="737" w:right="737"/>
        <w:jc w:val="center"/>
        <w:rPr>
          <w:rFonts w:ascii="Times New Roman" w:hAnsi="Times New Roman" w:cs="Times New Roman"/>
          <w:b/>
          <w:i/>
          <w:sz w:val="20"/>
          <w:szCs w:val="20"/>
        </w:rPr>
      </w:pPr>
    </w:p>
    <w:p w:rsidR="00C942D3" w:rsidRDefault="00C942D3" w:rsidP="002052FE">
      <w:pPr>
        <w:tabs>
          <w:tab w:val="left" w:pos="8222"/>
        </w:tabs>
        <w:spacing w:after="0" w:line="240" w:lineRule="auto"/>
        <w:ind w:left="737" w:right="737"/>
        <w:jc w:val="center"/>
        <w:rPr>
          <w:rFonts w:ascii="Times New Roman" w:hAnsi="Times New Roman" w:cs="Times New Roman"/>
          <w:b/>
          <w:i/>
          <w:sz w:val="20"/>
          <w:szCs w:val="20"/>
        </w:rPr>
      </w:pPr>
    </w:p>
    <w:p w:rsidR="00C942D3" w:rsidRDefault="00C942D3" w:rsidP="002052FE">
      <w:pPr>
        <w:tabs>
          <w:tab w:val="left" w:pos="8222"/>
        </w:tabs>
        <w:spacing w:after="0" w:line="240" w:lineRule="auto"/>
        <w:ind w:left="737" w:right="737"/>
        <w:jc w:val="center"/>
        <w:rPr>
          <w:rFonts w:ascii="Times New Roman" w:hAnsi="Times New Roman" w:cs="Times New Roman"/>
          <w:b/>
          <w:i/>
          <w:sz w:val="20"/>
          <w:szCs w:val="20"/>
        </w:rPr>
      </w:pPr>
    </w:p>
    <w:p w:rsidR="00C942D3" w:rsidRDefault="00C942D3" w:rsidP="002052FE">
      <w:pPr>
        <w:tabs>
          <w:tab w:val="left" w:pos="8222"/>
        </w:tabs>
        <w:spacing w:after="0" w:line="240" w:lineRule="auto"/>
        <w:ind w:left="737" w:right="737"/>
        <w:jc w:val="center"/>
        <w:rPr>
          <w:rFonts w:ascii="Times New Roman" w:hAnsi="Times New Roman" w:cs="Times New Roman"/>
          <w:b/>
          <w:i/>
          <w:sz w:val="20"/>
          <w:szCs w:val="20"/>
        </w:rPr>
      </w:pPr>
    </w:p>
    <w:p w:rsidR="00CA7788" w:rsidRPr="00414A9D" w:rsidRDefault="00CA7788" w:rsidP="002052FE">
      <w:pPr>
        <w:tabs>
          <w:tab w:val="left" w:pos="8222"/>
        </w:tabs>
        <w:spacing w:after="0" w:line="240" w:lineRule="auto"/>
        <w:ind w:left="737" w:right="737"/>
        <w:jc w:val="center"/>
        <w:rPr>
          <w:rFonts w:ascii="Times New Roman" w:hAnsi="Times New Roman" w:cs="Times New Roman"/>
          <w:b/>
          <w:i/>
          <w:sz w:val="20"/>
          <w:szCs w:val="20"/>
        </w:rPr>
      </w:pPr>
      <w:bookmarkStart w:id="0" w:name="_GoBack"/>
      <w:bookmarkEnd w:id="0"/>
      <w:r w:rsidRPr="00E40F31">
        <w:rPr>
          <w:rFonts w:ascii="Times New Roman" w:hAnsi="Times New Roman" w:cs="Times New Roman"/>
          <w:b/>
          <w:i/>
          <w:sz w:val="20"/>
          <w:szCs w:val="20"/>
        </w:rPr>
        <w:t>Abstract</w:t>
      </w:r>
    </w:p>
    <w:p w:rsidR="00414A9D" w:rsidRPr="00B50E95" w:rsidRDefault="00414A9D" w:rsidP="00B50E95">
      <w:pPr>
        <w:autoSpaceDE w:val="0"/>
        <w:autoSpaceDN w:val="0"/>
        <w:adjustRightInd w:val="0"/>
        <w:spacing w:after="120" w:line="240" w:lineRule="auto"/>
        <w:ind w:right="98"/>
        <w:jc w:val="both"/>
        <w:rPr>
          <w:rFonts w:ascii="Times New Roman" w:hAnsi="Times New Roman" w:cs="Times New Roman"/>
          <w:sz w:val="20"/>
          <w:szCs w:val="20"/>
        </w:rPr>
      </w:pPr>
      <w:r w:rsidRPr="00B50E95">
        <w:rPr>
          <w:rFonts w:ascii="Times New Roman" w:hAnsi="Times New Roman" w:cs="Times New Roman"/>
          <w:sz w:val="20"/>
          <w:szCs w:val="20"/>
        </w:rPr>
        <w:t xml:space="preserve">Mathematical thinking is an important aspect in mathematics education and, therefore, also needs to be understood by prospective teachers. Prospective teachers should have the ability to analyze and interpret students’ mathematical thinking. Comparing model is one of the interpretation models from Wilson, Lee, and Hollebrands. This article will describe the prospective teacher used model of building process in interpretation students' mathematical thinking. Subjects selected by considering them in following the students’ strategies in solving the Building Construction Problem. Comparing model is a model of interpretation in which a person interprets student thinking based on student work. There are two types comparing model building process prospective teacher use in interpreting students’ mathematical thinking ie. comparing work and comparing knowledge. </w:t>
      </w:r>
      <w:r w:rsidR="008A56E7" w:rsidRPr="00B50E95">
        <w:rPr>
          <w:rFonts w:ascii="Times New Roman" w:hAnsi="Times New Roman" w:cs="Times New Roman"/>
          <w:sz w:val="20"/>
          <w:szCs w:val="20"/>
        </w:rPr>
        <w:t xml:space="preserve">This is used to analyze student activities in order to provide an interpretation that is comparing the work of students with their own work. </w:t>
      </w:r>
      <w:r w:rsidRPr="00B50E95">
        <w:rPr>
          <w:rFonts w:ascii="Times New Roman" w:hAnsi="Times New Roman" w:cs="Times New Roman"/>
          <w:sz w:val="20"/>
          <w:szCs w:val="20"/>
        </w:rPr>
        <w:t xml:space="preserve"> In the comparing knowledge, prospective teachers use internal representation rubrics to provide</w:t>
      </w:r>
      <w:r w:rsidR="00B50E95">
        <w:rPr>
          <w:rFonts w:ascii="Times New Roman" w:hAnsi="Times New Roman" w:cs="Times New Roman"/>
          <w:sz w:val="20"/>
          <w:szCs w:val="20"/>
        </w:rPr>
        <w:t xml:space="preserve"> </w:t>
      </w:r>
      <w:r w:rsidRPr="00B50E95">
        <w:rPr>
          <w:rFonts w:ascii="Times New Roman" w:hAnsi="Times New Roman" w:cs="Times New Roman"/>
          <w:sz w:val="20"/>
          <w:szCs w:val="20"/>
        </w:rPr>
        <w:t xml:space="preserve">interpretation by comparing the students' work with their knowledge or thought. </w:t>
      </w:r>
    </w:p>
    <w:p w:rsidR="00414A9D" w:rsidRPr="00414A9D" w:rsidRDefault="00414A9D" w:rsidP="00670B50">
      <w:pPr>
        <w:autoSpaceDE w:val="0"/>
        <w:autoSpaceDN w:val="0"/>
        <w:adjustRightInd w:val="0"/>
        <w:spacing w:after="120" w:line="240" w:lineRule="auto"/>
        <w:ind w:right="98"/>
        <w:jc w:val="both"/>
        <w:rPr>
          <w:rFonts w:ascii="Times New Roman" w:eastAsia="Times New Roman" w:hAnsi="Times New Roman" w:cs="Times New Roman"/>
          <w:sz w:val="20"/>
          <w:szCs w:val="20"/>
          <w:lang w:eastAsia="id-ID"/>
        </w:rPr>
      </w:pPr>
    </w:p>
    <w:p w:rsidR="006C4B5F" w:rsidRPr="00E40F31" w:rsidRDefault="00E40F31" w:rsidP="00670B50">
      <w:pPr>
        <w:spacing w:after="0" w:line="240" w:lineRule="auto"/>
        <w:ind w:right="98"/>
        <w:jc w:val="both"/>
        <w:rPr>
          <w:rFonts w:ascii="Times New Roman" w:hAnsi="Times New Roman" w:cs="Times New Roman"/>
          <w:sz w:val="20"/>
          <w:szCs w:val="20"/>
        </w:rPr>
      </w:pPr>
      <w:r>
        <w:rPr>
          <w:rFonts w:ascii="Times New Roman" w:hAnsi="Times New Roman" w:cs="Times New Roman"/>
          <w:b/>
          <w:sz w:val="20"/>
          <w:szCs w:val="20"/>
        </w:rPr>
        <w:t>Keywords</w:t>
      </w:r>
      <w:r w:rsidR="00B370CA" w:rsidRPr="00E40F31">
        <w:rPr>
          <w:rFonts w:ascii="Times New Roman" w:hAnsi="Times New Roman" w:cs="Times New Roman"/>
          <w:b/>
          <w:sz w:val="20"/>
          <w:szCs w:val="20"/>
        </w:rPr>
        <w:t>:</w:t>
      </w:r>
      <w:r w:rsidR="00B370CA" w:rsidRPr="00E40F31">
        <w:rPr>
          <w:rFonts w:ascii="Times New Roman" w:hAnsi="Times New Roman" w:cs="Times New Roman"/>
          <w:sz w:val="20"/>
          <w:szCs w:val="20"/>
        </w:rPr>
        <w:t xml:space="preserve"> </w:t>
      </w:r>
      <w:r w:rsidR="00414A9D">
        <w:rPr>
          <w:rFonts w:ascii="Times New Roman" w:hAnsi="Times New Roman" w:cs="Times New Roman"/>
          <w:sz w:val="20"/>
          <w:szCs w:val="20"/>
        </w:rPr>
        <w:t>C</w:t>
      </w:r>
      <w:r w:rsidR="00414A9D" w:rsidRPr="00414A9D">
        <w:rPr>
          <w:rFonts w:ascii="Times New Roman" w:hAnsi="Times New Roman" w:cs="Times New Roman"/>
          <w:sz w:val="20"/>
          <w:szCs w:val="20"/>
        </w:rPr>
        <w:t xml:space="preserve">omparing </w:t>
      </w:r>
      <w:r w:rsidR="00414A9D">
        <w:rPr>
          <w:rFonts w:ascii="Times New Roman" w:hAnsi="Times New Roman" w:cs="Times New Roman"/>
          <w:sz w:val="20"/>
          <w:szCs w:val="20"/>
        </w:rPr>
        <w:t>M</w:t>
      </w:r>
      <w:r w:rsidR="00414A9D" w:rsidRPr="00414A9D">
        <w:rPr>
          <w:rFonts w:ascii="Times New Roman" w:hAnsi="Times New Roman" w:cs="Times New Roman"/>
          <w:sz w:val="20"/>
          <w:szCs w:val="20"/>
        </w:rPr>
        <w:t xml:space="preserve">odel, </w:t>
      </w:r>
      <w:r w:rsidR="00414A9D">
        <w:rPr>
          <w:rFonts w:ascii="Times New Roman" w:hAnsi="Times New Roman" w:cs="Times New Roman"/>
          <w:sz w:val="20"/>
          <w:szCs w:val="20"/>
        </w:rPr>
        <w:t>Interpretation, S</w:t>
      </w:r>
      <w:r w:rsidR="00D31253">
        <w:rPr>
          <w:rFonts w:ascii="Times New Roman" w:hAnsi="Times New Roman" w:cs="Times New Roman"/>
          <w:sz w:val="20"/>
          <w:szCs w:val="20"/>
        </w:rPr>
        <w:t>tudents’ Mathematical T</w:t>
      </w:r>
      <w:r w:rsidR="00414A9D" w:rsidRPr="00414A9D">
        <w:rPr>
          <w:rFonts w:ascii="Times New Roman" w:hAnsi="Times New Roman" w:cs="Times New Roman"/>
          <w:sz w:val="20"/>
          <w:szCs w:val="20"/>
        </w:rPr>
        <w:t>hinking</w:t>
      </w:r>
    </w:p>
    <w:p w:rsidR="00783351" w:rsidRPr="00E40F31" w:rsidRDefault="00783351" w:rsidP="00CB5A7C">
      <w:pPr>
        <w:tabs>
          <w:tab w:val="left" w:pos="1025"/>
        </w:tabs>
        <w:spacing w:before="240" w:after="0" w:line="240" w:lineRule="auto"/>
        <w:jc w:val="center"/>
        <w:rPr>
          <w:rFonts w:ascii="Times New Roman" w:hAnsi="Times New Roman" w:cs="Times New Roman"/>
          <w:b/>
          <w:sz w:val="20"/>
          <w:szCs w:val="20"/>
        </w:rPr>
      </w:pPr>
      <w:r w:rsidRPr="00E40F31">
        <w:rPr>
          <w:rFonts w:ascii="Times New Roman" w:hAnsi="Times New Roman" w:cs="Times New Roman"/>
          <w:b/>
          <w:sz w:val="20"/>
          <w:szCs w:val="20"/>
        </w:rPr>
        <w:t>Abstrak</w:t>
      </w:r>
    </w:p>
    <w:p w:rsidR="008A56E7" w:rsidRPr="00B50E95" w:rsidRDefault="00C54ACB" w:rsidP="00B50E95">
      <w:pPr>
        <w:autoSpaceDE w:val="0"/>
        <w:autoSpaceDN w:val="0"/>
        <w:adjustRightInd w:val="0"/>
        <w:spacing w:after="120" w:line="240" w:lineRule="auto"/>
        <w:ind w:right="98"/>
        <w:jc w:val="both"/>
        <w:rPr>
          <w:rFonts w:ascii="Times New Roman" w:hAnsi="Times New Roman" w:cs="Times New Roman"/>
          <w:sz w:val="20"/>
          <w:szCs w:val="20"/>
        </w:rPr>
      </w:pPr>
      <w:r>
        <w:rPr>
          <w:rFonts w:ascii="Times New Roman" w:hAnsi="Times New Roman" w:cs="Times New Roman"/>
          <w:sz w:val="20"/>
          <w:szCs w:val="20"/>
        </w:rPr>
        <w:t>Pemikiran matematis</w:t>
      </w:r>
      <w:r w:rsidR="00414A9D" w:rsidRPr="00B50E95">
        <w:rPr>
          <w:rFonts w:ascii="Times New Roman" w:hAnsi="Times New Roman" w:cs="Times New Roman"/>
          <w:sz w:val="20"/>
          <w:szCs w:val="20"/>
        </w:rPr>
        <w:t xml:space="preserve"> merupakan aspek penting dalam pendidikan matematika dan, oleh karena itu, juga perlu dipahami oleh calon guru. Calon guru harus memiliki kemampuan untuk menganalisis dan menafsirkan pemikiran matematika siswa. Model </w:t>
      </w:r>
      <w:r>
        <w:rPr>
          <w:rFonts w:ascii="Times New Roman" w:hAnsi="Times New Roman" w:cs="Times New Roman"/>
          <w:sz w:val="20"/>
          <w:szCs w:val="20"/>
        </w:rPr>
        <w:t>Membandingkan</w:t>
      </w:r>
      <w:r w:rsidR="00414A9D" w:rsidRPr="00B50E95">
        <w:rPr>
          <w:rFonts w:ascii="Times New Roman" w:hAnsi="Times New Roman" w:cs="Times New Roman"/>
          <w:sz w:val="20"/>
          <w:szCs w:val="20"/>
        </w:rPr>
        <w:t xml:space="preserve"> adalah salah satu model interpretasi dari Wilson, Lee, dan Hollebrands. Artikel ini akan menjelaskan </w:t>
      </w:r>
      <w:r>
        <w:rPr>
          <w:rFonts w:ascii="Times New Roman" w:hAnsi="Times New Roman" w:cs="Times New Roman"/>
          <w:sz w:val="20"/>
          <w:szCs w:val="20"/>
        </w:rPr>
        <w:t xml:space="preserve">bagaimana </w:t>
      </w:r>
      <w:r w:rsidR="00414A9D" w:rsidRPr="00B50E95">
        <w:rPr>
          <w:rFonts w:ascii="Times New Roman" w:hAnsi="Times New Roman" w:cs="Times New Roman"/>
          <w:sz w:val="20"/>
          <w:szCs w:val="20"/>
        </w:rPr>
        <w:t xml:space="preserve">calon guru menggunakan model proses </w:t>
      </w:r>
      <w:r>
        <w:rPr>
          <w:rFonts w:ascii="Times New Roman" w:hAnsi="Times New Roman" w:cs="Times New Roman"/>
          <w:sz w:val="20"/>
          <w:szCs w:val="20"/>
        </w:rPr>
        <w:t>membangun</w:t>
      </w:r>
      <w:r w:rsidR="00414A9D" w:rsidRPr="00B50E95">
        <w:rPr>
          <w:rFonts w:ascii="Times New Roman" w:hAnsi="Times New Roman" w:cs="Times New Roman"/>
          <w:sz w:val="20"/>
          <w:szCs w:val="20"/>
        </w:rPr>
        <w:t xml:space="preserve"> dalam </w:t>
      </w:r>
      <w:r>
        <w:rPr>
          <w:rFonts w:ascii="Times New Roman" w:hAnsi="Times New Roman" w:cs="Times New Roman"/>
          <w:sz w:val="20"/>
          <w:szCs w:val="20"/>
        </w:rPr>
        <w:t>menafsirkan pemikiran matematis</w:t>
      </w:r>
      <w:r w:rsidR="00414A9D" w:rsidRPr="00B50E95">
        <w:rPr>
          <w:rFonts w:ascii="Times New Roman" w:hAnsi="Times New Roman" w:cs="Times New Roman"/>
          <w:sz w:val="20"/>
          <w:szCs w:val="20"/>
        </w:rPr>
        <w:t xml:space="preserve"> siswa. Subjek dipilih dengan mempertimbangkan </w:t>
      </w:r>
      <w:r>
        <w:rPr>
          <w:rFonts w:ascii="Times New Roman" w:hAnsi="Times New Roman" w:cs="Times New Roman"/>
          <w:sz w:val="20"/>
          <w:szCs w:val="20"/>
        </w:rPr>
        <w:t>bagaimana mereka</w:t>
      </w:r>
      <w:r w:rsidR="00414A9D" w:rsidRPr="00B50E95">
        <w:rPr>
          <w:rFonts w:ascii="Times New Roman" w:hAnsi="Times New Roman" w:cs="Times New Roman"/>
          <w:sz w:val="20"/>
          <w:szCs w:val="20"/>
        </w:rPr>
        <w:t xml:space="preserve"> mengikuti strategi siswa dalam menyelesaikan Masalah Konstruksi Bangunan. Model </w:t>
      </w:r>
      <w:r w:rsidR="008A56E7" w:rsidRPr="00B50E95">
        <w:rPr>
          <w:rFonts w:ascii="Times New Roman" w:hAnsi="Times New Roman" w:cs="Times New Roman"/>
          <w:sz w:val="20"/>
          <w:szCs w:val="20"/>
        </w:rPr>
        <w:t>Membandingkan</w:t>
      </w:r>
      <w:r w:rsidR="00414A9D" w:rsidRPr="00B50E95">
        <w:rPr>
          <w:rFonts w:ascii="Times New Roman" w:hAnsi="Times New Roman" w:cs="Times New Roman"/>
          <w:sz w:val="20"/>
          <w:szCs w:val="20"/>
        </w:rPr>
        <w:t xml:space="preserve"> adalah model interpretasi di mana seseorang menginterpretasikan pemikiran siswa berdasarkan pada pekerjaan siswa. Ada dua jenis proses membangun </w:t>
      </w:r>
      <w:r w:rsidR="008A56E7" w:rsidRPr="00B50E95">
        <w:rPr>
          <w:rFonts w:ascii="Times New Roman" w:hAnsi="Times New Roman" w:cs="Times New Roman"/>
          <w:sz w:val="20"/>
          <w:szCs w:val="20"/>
        </w:rPr>
        <w:t xml:space="preserve">Model Membandingkan </w:t>
      </w:r>
      <w:r w:rsidR="00414A9D" w:rsidRPr="00B50E95">
        <w:rPr>
          <w:rFonts w:ascii="Times New Roman" w:hAnsi="Times New Roman" w:cs="Times New Roman"/>
          <w:sz w:val="20"/>
          <w:szCs w:val="20"/>
        </w:rPr>
        <w:t>yang digunakan calon guru dalam menafsirkan pe</w:t>
      </w:r>
      <w:r>
        <w:rPr>
          <w:rFonts w:ascii="Times New Roman" w:hAnsi="Times New Roman" w:cs="Times New Roman"/>
          <w:sz w:val="20"/>
          <w:szCs w:val="20"/>
        </w:rPr>
        <w:t>mikiran matematis</w:t>
      </w:r>
      <w:r w:rsidR="008A56E7" w:rsidRPr="00B50E95">
        <w:rPr>
          <w:rFonts w:ascii="Times New Roman" w:hAnsi="Times New Roman" w:cs="Times New Roman"/>
          <w:sz w:val="20"/>
          <w:szCs w:val="20"/>
        </w:rPr>
        <w:t xml:space="preserve"> siswa yaitu </w:t>
      </w:r>
      <w:r>
        <w:rPr>
          <w:rFonts w:ascii="Times New Roman" w:hAnsi="Times New Roman" w:cs="Times New Roman"/>
          <w:sz w:val="20"/>
          <w:szCs w:val="20"/>
        </w:rPr>
        <w:t>M</w:t>
      </w:r>
      <w:r w:rsidR="00414A9D" w:rsidRPr="00B50E95">
        <w:rPr>
          <w:rFonts w:ascii="Times New Roman" w:hAnsi="Times New Roman" w:cs="Times New Roman"/>
          <w:sz w:val="20"/>
          <w:szCs w:val="20"/>
        </w:rPr>
        <w:t xml:space="preserve">embandingkan </w:t>
      </w:r>
      <w:r>
        <w:rPr>
          <w:rFonts w:ascii="Times New Roman" w:hAnsi="Times New Roman" w:cs="Times New Roman"/>
          <w:sz w:val="20"/>
          <w:szCs w:val="20"/>
        </w:rPr>
        <w:t>Karya dan Membandingkan P</w:t>
      </w:r>
      <w:r w:rsidR="00414A9D" w:rsidRPr="00B50E95">
        <w:rPr>
          <w:rFonts w:ascii="Times New Roman" w:hAnsi="Times New Roman" w:cs="Times New Roman"/>
          <w:sz w:val="20"/>
          <w:szCs w:val="20"/>
        </w:rPr>
        <w:t xml:space="preserve">engetahuan. Dalam </w:t>
      </w:r>
      <w:r>
        <w:rPr>
          <w:rFonts w:ascii="Times New Roman" w:hAnsi="Times New Roman" w:cs="Times New Roman"/>
          <w:sz w:val="20"/>
          <w:szCs w:val="20"/>
        </w:rPr>
        <w:t>Membandingkan K</w:t>
      </w:r>
      <w:r w:rsidR="008A56E7" w:rsidRPr="00B50E95">
        <w:rPr>
          <w:rFonts w:ascii="Times New Roman" w:hAnsi="Times New Roman" w:cs="Times New Roman"/>
          <w:sz w:val="20"/>
          <w:szCs w:val="20"/>
        </w:rPr>
        <w:t>arya</w:t>
      </w:r>
      <w:r w:rsidR="00414A9D" w:rsidRPr="00B50E95">
        <w:rPr>
          <w:rFonts w:ascii="Times New Roman" w:hAnsi="Times New Roman" w:cs="Times New Roman"/>
          <w:sz w:val="20"/>
          <w:szCs w:val="20"/>
        </w:rPr>
        <w:t xml:space="preserve">, calon guru menggunakan </w:t>
      </w:r>
      <w:r w:rsidR="008A56E7" w:rsidRPr="00B50E95">
        <w:rPr>
          <w:rFonts w:ascii="Times New Roman" w:hAnsi="Times New Roman" w:cs="Times New Roman"/>
          <w:sz w:val="20"/>
          <w:szCs w:val="20"/>
        </w:rPr>
        <w:t>rubrik</w:t>
      </w:r>
      <w:r w:rsidR="00414A9D" w:rsidRPr="00B50E95">
        <w:rPr>
          <w:rFonts w:ascii="Times New Roman" w:hAnsi="Times New Roman" w:cs="Times New Roman"/>
          <w:sz w:val="20"/>
          <w:szCs w:val="20"/>
        </w:rPr>
        <w:t xml:space="preserve"> representasi eksternal</w:t>
      </w:r>
      <w:r w:rsidR="008A56E7" w:rsidRPr="00B50E95">
        <w:rPr>
          <w:rFonts w:ascii="Times New Roman" w:hAnsi="Times New Roman" w:cs="Times New Roman"/>
          <w:sz w:val="20"/>
          <w:szCs w:val="20"/>
        </w:rPr>
        <w:t xml:space="preserve">. Ini digunakan untuk </w:t>
      </w:r>
      <w:r w:rsidR="00414A9D" w:rsidRPr="00B50E95">
        <w:rPr>
          <w:rFonts w:ascii="Times New Roman" w:hAnsi="Times New Roman" w:cs="Times New Roman"/>
          <w:sz w:val="20"/>
          <w:szCs w:val="20"/>
        </w:rPr>
        <w:t xml:space="preserve">menganalisis aktivitas siswa </w:t>
      </w:r>
      <w:r w:rsidR="008A56E7" w:rsidRPr="00B50E95">
        <w:rPr>
          <w:rFonts w:ascii="Times New Roman" w:hAnsi="Times New Roman" w:cs="Times New Roman"/>
          <w:sz w:val="20"/>
          <w:szCs w:val="20"/>
        </w:rPr>
        <w:t>dalam rangka</w:t>
      </w:r>
      <w:r w:rsidR="00414A9D" w:rsidRPr="00B50E95">
        <w:rPr>
          <w:rFonts w:ascii="Times New Roman" w:hAnsi="Times New Roman" w:cs="Times New Roman"/>
          <w:sz w:val="20"/>
          <w:szCs w:val="20"/>
        </w:rPr>
        <w:t xml:space="preserve"> memberikan interpretasi </w:t>
      </w:r>
      <w:r w:rsidR="008A56E7" w:rsidRPr="00B50E95">
        <w:rPr>
          <w:rFonts w:ascii="Times New Roman" w:hAnsi="Times New Roman" w:cs="Times New Roman"/>
          <w:sz w:val="20"/>
          <w:szCs w:val="20"/>
        </w:rPr>
        <w:t>yaitu</w:t>
      </w:r>
      <w:r w:rsidR="00414A9D" w:rsidRPr="00B50E95">
        <w:rPr>
          <w:rFonts w:ascii="Times New Roman" w:hAnsi="Times New Roman" w:cs="Times New Roman"/>
          <w:sz w:val="20"/>
          <w:szCs w:val="20"/>
        </w:rPr>
        <w:t xml:space="preserve"> membandingkan pekerjaan siswa dengan p</w:t>
      </w:r>
      <w:r w:rsidR="008A56E7" w:rsidRPr="00B50E95">
        <w:rPr>
          <w:rFonts w:ascii="Times New Roman" w:hAnsi="Times New Roman" w:cs="Times New Roman"/>
          <w:sz w:val="20"/>
          <w:szCs w:val="20"/>
        </w:rPr>
        <w:t xml:space="preserve">ekerjaan mereka sendiri. </w:t>
      </w:r>
      <w:r w:rsidR="00B50E95" w:rsidRPr="00B50E95">
        <w:rPr>
          <w:rFonts w:ascii="Times New Roman" w:hAnsi="Times New Roman" w:cs="Times New Roman"/>
          <w:sz w:val="20"/>
          <w:szCs w:val="20"/>
        </w:rPr>
        <w:t xml:space="preserve">Dalam Membandingkan Pengetahuan, calon guru menggunakan rubrik representasi internal </w:t>
      </w:r>
      <w:r w:rsidR="00B50E95">
        <w:rPr>
          <w:rFonts w:ascii="Times New Roman" w:hAnsi="Times New Roman" w:cs="Times New Roman"/>
          <w:sz w:val="20"/>
          <w:szCs w:val="20"/>
        </w:rPr>
        <w:t xml:space="preserve">untuk menyediakan interpretasi </w:t>
      </w:r>
      <w:r w:rsidR="00B50E95" w:rsidRPr="00B50E95">
        <w:rPr>
          <w:rFonts w:ascii="Times New Roman" w:hAnsi="Times New Roman" w:cs="Times New Roman"/>
          <w:sz w:val="20"/>
          <w:szCs w:val="20"/>
        </w:rPr>
        <w:t xml:space="preserve">yaitu </w:t>
      </w:r>
      <w:r w:rsidR="00B50E95">
        <w:rPr>
          <w:rFonts w:ascii="Times New Roman" w:hAnsi="Times New Roman" w:cs="Times New Roman"/>
          <w:sz w:val="20"/>
          <w:szCs w:val="20"/>
        </w:rPr>
        <w:t xml:space="preserve">dengan </w:t>
      </w:r>
      <w:r w:rsidR="00B50E95" w:rsidRPr="00B50E95">
        <w:rPr>
          <w:rFonts w:ascii="Times New Roman" w:hAnsi="Times New Roman" w:cs="Times New Roman"/>
          <w:sz w:val="20"/>
          <w:szCs w:val="20"/>
        </w:rPr>
        <w:t>membandingkan pekerjaan siswa dengan pengetahuan atau pemikiran mereka.</w:t>
      </w:r>
    </w:p>
    <w:p w:rsidR="008A56E7" w:rsidRPr="00B50E95" w:rsidRDefault="008A56E7" w:rsidP="008A56E7">
      <w:pPr>
        <w:pStyle w:val="HTMLPreformatted"/>
        <w:rPr>
          <w:lang w:val="en-US"/>
        </w:rPr>
      </w:pPr>
    </w:p>
    <w:p w:rsidR="00783351" w:rsidRDefault="00E7286A" w:rsidP="008A56E7">
      <w:pPr>
        <w:tabs>
          <w:tab w:val="left" w:pos="1025"/>
        </w:tabs>
        <w:spacing w:after="120" w:line="240" w:lineRule="auto"/>
        <w:ind w:right="98"/>
        <w:jc w:val="both"/>
        <w:rPr>
          <w:rFonts w:ascii="Times New Roman" w:hAnsi="Times New Roman" w:cs="Times New Roman"/>
          <w:sz w:val="20"/>
          <w:szCs w:val="20"/>
        </w:rPr>
      </w:pPr>
      <w:r w:rsidRPr="00E40F31">
        <w:rPr>
          <w:rFonts w:ascii="Times New Roman" w:hAnsi="Times New Roman" w:cs="Times New Roman"/>
          <w:b/>
          <w:sz w:val="20"/>
          <w:szCs w:val="20"/>
        </w:rPr>
        <w:t>Kata kunci</w:t>
      </w:r>
      <w:r w:rsidR="00783351" w:rsidRPr="00E40F31">
        <w:rPr>
          <w:rFonts w:ascii="Times New Roman" w:hAnsi="Times New Roman" w:cs="Times New Roman"/>
          <w:b/>
          <w:sz w:val="20"/>
          <w:szCs w:val="20"/>
        </w:rPr>
        <w:t>:</w:t>
      </w:r>
      <w:r w:rsidRPr="00E40F31">
        <w:rPr>
          <w:rFonts w:ascii="Times New Roman" w:hAnsi="Times New Roman" w:cs="Times New Roman"/>
          <w:b/>
          <w:sz w:val="20"/>
          <w:szCs w:val="20"/>
        </w:rPr>
        <w:t xml:space="preserve"> </w:t>
      </w:r>
      <w:r w:rsidR="008A56E7">
        <w:rPr>
          <w:rFonts w:ascii="Times New Roman" w:hAnsi="Times New Roman" w:cs="Times New Roman"/>
          <w:sz w:val="20"/>
          <w:szCs w:val="20"/>
        </w:rPr>
        <w:t>Model Membandingk</w:t>
      </w:r>
      <w:r w:rsidR="00E91573">
        <w:rPr>
          <w:rFonts w:ascii="Times New Roman" w:hAnsi="Times New Roman" w:cs="Times New Roman"/>
          <w:sz w:val="20"/>
          <w:szCs w:val="20"/>
        </w:rPr>
        <w:t>an, Interpretasi, Pemikiran Mat</w:t>
      </w:r>
      <w:r w:rsidR="008A56E7">
        <w:rPr>
          <w:rFonts w:ascii="Times New Roman" w:hAnsi="Times New Roman" w:cs="Times New Roman"/>
          <w:sz w:val="20"/>
          <w:szCs w:val="20"/>
        </w:rPr>
        <w:t>ematis Siswa</w:t>
      </w:r>
    </w:p>
    <w:p w:rsidR="008A56E7" w:rsidRPr="008A56E7" w:rsidRDefault="008A56E7" w:rsidP="008A56E7">
      <w:pPr>
        <w:tabs>
          <w:tab w:val="left" w:pos="1025"/>
        </w:tabs>
        <w:spacing w:after="120" w:line="240" w:lineRule="auto"/>
        <w:ind w:right="98"/>
        <w:jc w:val="both"/>
        <w:rPr>
          <w:rFonts w:ascii="Times New Roman" w:hAnsi="Times New Roman" w:cs="Times New Roman"/>
          <w:sz w:val="20"/>
          <w:szCs w:val="20"/>
        </w:rPr>
      </w:pPr>
    </w:p>
    <w:p w:rsidR="00670B50" w:rsidRDefault="00670B50" w:rsidP="00670B50">
      <w:pPr>
        <w:spacing w:before="180" w:after="0" w:line="240" w:lineRule="auto"/>
        <w:jc w:val="both"/>
        <w:rPr>
          <w:rFonts w:ascii="Times New Roman" w:hAnsi="Times New Roman" w:cs="Times New Roman"/>
          <w:color w:val="000000"/>
          <w:sz w:val="20"/>
          <w:szCs w:val="20"/>
        </w:rPr>
      </w:pPr>
      <w:r w:rsidRPr="00462FBA">
        <w:rPr>
          <w:rFonts w:ascii="Times New Roman" w:hAnsi="Times New Roman" w:cs="Times New Roman"/>
          <w:b/>
          <w:bCs/>
          <w:i/>
          <w:iCs/>
          <w:color w:val="000000"/>
          <w:sz w:val="20"/>
          <w:szCs w:val="20"/>
        </w:rPr>
        <w:t>How to Cite</w:t>
      </w:r>
      <w:r w:rsidRPr="00462FBA">
        <w:rPr>
          <w:rFonts w:ascii="Times New Roman" w:hAnsi="Times New Roman" w:cs="Times New Roman"/>
          <w:color w:val="000000"/>
          <w:sz w:val="20"/>
          <w:szCs w:val="20"/>
        </w:rPr>
        <w:t xml:space="preserve">: </w:t>
      </w:r>
      <w:r w:rsidR="00B50E95">
        <w:rPr>
          <w:rFonts w:ascii="Times New Roman" w:hAnsi="Times New Roman" w:cs="Times New Roman"/>
          <w:color w:val="000000"/>
          <w:sz w:val="20"/>
          <w:szCs w:val="20"/>
        </w:rPr>
        <w:t>Sapti</w:t>
      </w:r>
      <w:r>
        <w:rPr>
          <w:rFonts w:ascii="Times New Roman" w:hAnsi="Times New Roman" w:cs="Times New Roman"/>
          <w:color w:val="000000"/>
          <w:sz w:val="20"/>
          <w:szCs w:val="20"/>
        </w:rPr>
        <w:t xml:space="preserve">, </w:t>
      </w:r>
      <w:r w:rsidR="00B50E95">
        <w:rPr>
          <w:rFonts w:ascii="Times New Roman" w:hAnsi="Times New Roman" w:cs="Times New Roman"/>
          <w:color w:val="000000"/>
          <w:sz w:val="20"/>
          <w:szCs w:val="20"/>
        </w:rPr>
        <w:t xml:space="preserve">M., Purwanto, As’ari, A.R., &amp; Wijaya, A. </w:t>
      </w:r>
      <w:r>
        <w:rPr>
          <w:rFonts w:ascii="Times New Roman" w:hAnsi="Times New Roman" w:cs="Times New Roman"/>
          <w:color w:val="000000"/>
          <w:sz w:val="20"/>
          <w:szCs w:val="20"/>
        </w:rPr>
        <w:t>(201</w:t>
      </w:r>
      <w:r w:rsidR="00B50E95">
        <w:rPr>
          <w:rFonts w:ascii="Times New Roman" w:hAnsi="Times New Roman" w:cs="Times New Roman"/>
          <w:color w:val="000000"/>
          <w:sz w:val="20"/>
          <w:szCs w:val="20"/>
        </w:rPr>
        <w:t xml:space="preserve">9). Comparing </w:t>
      </w:r>
      <w:r w:rsidR="00622955">
        <w:rPr>
          <w:rFonts w:ascii="Times New Roman" w:hAnsi="Times New Roman" w:cs="Times New Roman"/>
          <w:color w:val="000000"/>
          <w:sz w:val="20"/>
          <w:szCs w:val="20"/>
        </w:rPr>
        <w:t>Model-</w:t>
      </w:r>
      <w:r w:rsidR="00B50E95">
        <w:rPr>
          <w:rFonts w:ascii="Times New Roman" w:hAnsi="Times New Roman" w:cs="Times New Roman"/>
          <w:color w:val="000000"/>
          <w:sz w:val="20"/>
          <w:szCs w:val="20"/>
        </w:rPr>
        <w:t xml:space="preserve">Building Process: </w:t>
      </w:r>
      <w:r w:rsidR="00B50E95" w:rsidRPr="00B638C5">
        <w:rPr>
          <w:rFonts w:ascii="Times New Roman" w:hAnsi="Times New Roman" w:cs="Times New Roman"/>
          <w:color w:val="000000"/>
          <w:sz w:val="20"/>
          <w:szCs w:val="20"/>
        </w:rPr>
        <w:t>A M</w:t>
      </w:r>
      <w:r w:rsidR="00B50E95">
        <w:rPr>
          <w:rFonts w:ascii="Times New Roman" w:hAnsi="Times New Roman" w:cs="Times New Roman"/>
          <w:color w:val="000000"/>
          <w:sz w:val="20"/>
          <w:szCs w:val="20"/>
        </w:rPr>
        <w:t>odel Prospective Teachers Used i</w:t>
      </w:r>
      <w:r w:rsidR="00B50E95" w:rsidRPr="00B638C5">
        <w:rPr>
          <w:rFonts w:ascii="Times New Roman" w:hAnsi="Times New Roman" w:cs="Times New Roman"/>
          <w:color w:val="000000"/>
          <w:sz w:val="20"/>
          <w:szCs w:val="20"/>
        </w:rPr>
        <w:t>n Interpreting Student’s Mathematical Thinking</w:t>
      </w:r>
      <w:r w:rsidRPr="00462FBA">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030F7">
        <w:rPr>
          <w:rFonts w:ascii="Times New Roman" w:hAnsi="Times New Roman" w:cs="Times New Roman"/>
          <w:i/>
          <w:color w:val="000000"/>
          <w:sz w:val="20"/>
          <w:szCs w:val="20"/>
        </w:rPr>
        <w:t xml:space="preserve">Journal on Mathematics Education, </w:t>
      </w:r>
      <w:r>
        <w:rPr>
          <w:rFonts w:ascii="Times New Roman" w:hAnsi="Times New Roman" w:cs="Times New Roman"/>
          <w:i/>
          <w:color w:val="000000"/>
          <w:sz w:val="20"/>
          <w:szCs w:val="20"/>
        </w:rPr>
        <w:t>x</w:t>
      </w:r>
      <w:r w:rsidRPr="00D030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x</w:t>
      </w:r>
      <w:r w:rsidRPr="00D030F7">
        <w:rPr>
          <w:rFonts w:ascii="Times New Roman" w:hAnsi="Times New Roman" w:cs="Times New Roman"/>
          <w:color w:val="000000"/>
          <w:sz w:val="20"/>
          <w:szCs w:val="20"/>
        </w:rPr>
        <w:t>),</w:t>
      </w:r>
      <w:r>
        <w:rPr>
          <w:rFonts w:ascii="Times New Roman" w:hAnsi="Times New Roman" w:cs="Times New Roman"/>
          <w:color w:val="000000"/>
          <w:sz w:val="20"/>
          <w:szCs w:val="20"/>
        </w:rPr>
        <w:t xml:space="preserve"> xx-xx</w:t>
      </w:r>
      <w:r w:rsidRPr="00462FBA">
        <w:rPr>
          <w:rFonts w:ascii="Times New Roman" w:hAnsi="Times New Roman" w:cs="Times New Roman"/>
          <w:color w:val="000000"/>
          <w:sz w:val="20"/>
          <w:szCs w:val="20"/>
        </w:rPr>
        <w:t>.</w:t>
      </w:r>
    </w:p>
    <w:p w:rsidR="00EB4D55" w:rsidRDefault="003C4D4E" w:rsidP="00670B50">
      <w:pPr>
        <w:pStyle w:val="Body"/>
        <w:ind w:firstLine="0"/>
        <w:rPr>
          <w:sz w:val="22"/>
          <w:szCs w:val="22"/>
        </w:rPr>
      </w:pPr>
      <w:r>
        <w:rPr>
          <w:noProof/>
          <w:spacing w:val="-6"/>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80644</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38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35pt" to="45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" strokecolor="black [3213]" strokeweight="1.5pt">
                <o:lock v:ext="edit" shapetype="f"/>
              </v:line>
            </w:pict>
          </mc:Fallback>
        </mc:AlternateContent>
      </w:r>
    </w:p>
    <w:p w:rsidR="00925DB1" w:rsidRPr="00FF5ABA" w:rsidRDefault="00925DB1" w:rsidP="00FF5ABA">
      <w:pPr>
        <w:pStyle w:val="Body"/>
        <w:ind w:firstLine="567"/>
        <w:rPr>
          <w:sz w:val="22"/>
        </w:rPr>
      </w:pPr>
      <w:r w:rsidRPr="00FF5ABA">
        <w:rPr>
          <w:sz w:val="22"/>
        </w:rPr>
        <w:t xml:space="preserve">One of the most fundamental goals of mathematics education is being able to use mathematical thinking in solving problems </w:t>
      </w:r>
      <w:r w:rsidRPr="00FF5ABA">
        <w:rPr>
          <w:sz w:val="22"/>
        </w:rPr>
        <w:fldChar w:fldCharType="begin" w:fldLock="1"/>
      </w:r>
      <w:r w:rsidRPr="00FF5ABA">
        <w:rPr>
          <w:sz w:val="22"/>
        </w:rPr>
        <w:instrText>ADDIN CSL_CITATION { "citationItems" : [ { "id" : "ITEM-1", "itemData" : { "author" : [ { "dropping-particle" : "", "family" : "Stacey", "given" : "Kaye", "non-dropping-particle" : "", "parse-names" : false, "suffix" : "" } ], "id" : "ITEM-1", "issued" : { "date-parts" : [ [ "2006" ] ] }, "title" : "What Is Mathematical Thinking and Why Is It Important?", "type" : "book" }, "uris" : [ "http://www.mendeley.com/documents/?uuid=480d3425-3d82-42f7-97c6-5713be6595a4" ] } ], "mendeley" : { "formattedCitation" : "(Stacey, 2006)", "plainTextFormattedCitation" : "(Stacey, 2006)", "previouslyFormattedCitation" : "(Stacey, 2006)" }, "properties" : {  }, "schema" : "https://github.com/citation-style-language/schema/raw/master/csl-citation.json" }</w:instrText>
      </w:r>
      <w:r w:rsidRPr="00FF5ABA">
        <w:rPr>
          <w:sz w:val="22"/>
        </w:rPr>
        <w:fldChar w:fldCharType="separate"/>
      </w:r>
      <w:r w:rsidRPr="00FF5ABA">
        <w:rPr>
          <w:sz w:val="22"/>
        </w:rPr>
        <w:t>(Stacey, 2006)</w:t>
      </w:r>
      <w:r w:rsidRPr="00FF5ABA">
        <w:rPr>
          <w:sz w:val="22"/>
        </w:rPr>
        <w:fldChar w:fldCharType="end"/>
      </w:r>
      <w:r w:rsidRPr="00FF5ABA">
        <w:rPr>
          <w:sz w:val="22"/>
        </w:rPr>
        <w:t xml:space="preserve">. Therefore, teachers should support the development of </w:t>
      </w:r>
      <w:r w:rsidRPr="00FF5ABA">
        <w:rPr>
          <w:sz w:val="22"/>
        </w:rPr>
        <w:lastRenderedPageBreak/>
        <w:t xml:space="preserve">students’ mathematical thinking. For this purpose, accessing students' thinking when students solve problems is essential to get information about students’ potential and also difficulties. Such information is important as a consideration for teachers to choose and prepare appropriate teaching strategies and/or materials. Despite the importance of accessing students’ thinking process is not easy because what teachers can directly access are student learning written and oral activities. As mentioned by von Glaserfeld (1995), teachers do not have direct access to students' mathematical thinking. What teachers can do is accessing the evidences of students’ mathematical thinking, such as students’ works. Student works show students’ mathematical activity that might indicate the process of students’ thinking. In this respect, teachers can develop </w:t>
      </w:r>
      <w:r w:rsidR="00E91573" w:rsidRPr="00FF5ABA">
        <w:rPr>
          <w:sz w:val="22"/>
        </w:rPr>
        <w:t xml:space="preserve">hypothesis </w:t>
      </w:r>
      <w:r w:rsidRPr="00FF5ABA">
        <w:rPr>
          <w:sz w:val="22"/>
        </w:rPr>
        <w:t xml:space="preserve">of students’ mathematical understandings by observing students’ mathematical activities. </w:t>
      </w:r>
      <w:r w:rsidR="00E91573" w:rsidRPr="00FF5ABA">
        <w:rPr>
          <w:sz w:val="22"/>
        </w:rPr>
        <w:t xml:space="preserve">Mathematical </w:t>
      </w:r>
      <w:r w:rsidRPr="00FF5ABA">
        <w:rPr>
          <w:sz w:val="22"/>
        </w:rPr>
        <w:t xml:space="preserve">activities include hypothesizing what students know and understand </w:t>
      </w:r>
      <w:r w:rsidRPr="00FF5ABA">
        <w:rPr>
          <w:sz w:val="22"/>
        </w:rPr>
        <w:fldChar w:fldCharType="begin" w:fldLock="1"/>
      </w:r>
      <w:r w:rsidR="00B44C71" w:rsidRPr="00FF5ABA">
        <w:rPr>
          <w:sz w:val="22"/>
        </w:rPr>
        <w:instrText>ADDIN CSL_CITATION { "citationItems" : [ { "id" : "ITEM-1", "itemData" : { "abstract" : "The constructivist teaching experiment is used in formulating explanations of children's mathematical behavior. Essentially, a teaching experiment consists of a series of teaching episodes and individual interviews that covers an extended period of time\u2014anywhere from 6 weeks to 2 years. The explanations we formulate consist of models\u2014constellations of theoretical constructs\u2014that represent our understand-ing of children's mathematical realities. However, the models must be distinguished from what might go on in children's heads. They are formulated in the context of intensive interactions with children. Our emphasis on the researcher as teacher stems from our view that children's construction of mathematical knowledge is greatly influenced by the experience they gain through interaction with their teacher. Although some of the researchers might not teach, all must act as model builders to ensure that the models reflect the teacher's understanding of the children. Our methodology for exploring the limits and subtleties of children's construc-tion of mathematical concepts and operations is the primary object of attention in this paper. We argue that, in such an exploration, there is no substitute for experi-encing the intimate interaction involved in teaching children. We then discuss the constructivist view of teaching and stress the importance of modeling children's mathematical realities. Next, the similarities and differences between constructivist and nonconstructivist teaching experiments are highlighted. In the remainder of the paper, we focus on models and model building.", "author" : [ { "dropping-particle" : "", "family" : "Cobb", "given" : "Paul", "non-dropping-particle" : "", "parse-names" : false, "suffix" : "" }, { "dropping-particle" : "", "family" : "Steffe", "given" : "Leslie P", "non-dropping-particle" : "", "parse-names" : false, "suffix" : "" } ], "container-title" : "Journal for Research in Mathematics Education", "id" : "ITEM-1", "issue" : "2", "issued" : { "date-parts" : [ [ "1983" ] ] }, "page" : "83-94", "publisher" : "National Council of Teachers of Mathematics", "title" : "The Constructivist Researcher as Teacher and Model Builder", "type" : "article-journal", "volume" : "14" }, "uris" : [ "http://www.mendeley.com/documents/?uuid=25e9ac0d-134f-4663-a6c1-83fdd951b674" ] }, { "id" : "ITEM-2", "itemData" : { "abstract" : "A primary purpose for using teaching experiment methodology is for researchers to experience, firsthand, students'2 mathematical learning and reasoning. Without the experiences afforded by teaching, there would be no basis for coming to understand the powerful mathematical concepts and operations students construct or even for suspecting that these concepts and operations may be distinctly different from those of researchers.", "author" : [ { "dropping-particle" : "", "family" : "Steffe", "given" : "Leslie P", "non-dropping-particle" : "", "parse-names" : false, "suffix" : "" }, { "dropping-particle" : "", "family" : "Thompson", "given" : "Patrick W", "non-dropping-particle" : "", "parse-names" : false, "suffix" : "" } ], "container-title" : "Research Design in Mathematics and Science Education", "editor" : [ { "dropping-particle" : "", "family" : "R. Lesh", "given" : "", "non-dropping-particle" : "", "parse-names" : false, "suffix" : "" }, { "dropping-particle" : "", "family" : "A. E. Kelly", "given" : "", "non-dropping-particle" : "", "parse-names" : false, "suffix" : "" } ], "id" : "ITEM-2", "issued" : { "date-parts" : [ [ "2000" ] ] }, "page" : "267-307", "publisher" : "Erlbaum.", "publisher-place" : "Hillsdale, NJ", "title" : "Teaching experiment methodology: Underlying principles and essential elements", "type" : "chapter" }, "uris" : [ "http://www.mendeley.com/documents/?uuid=66cdaf2f-e85f-4da6-a016-2ff8eac37943" ] } ], "mendeley" : { "formattedCitation" : "(Cobb &amp; Steffe, 1983; Steffe &amp; Thompson, 2000)", "manualFormatting" : "(Cobb &amp; Steffe, 1983; Steffe &amp; Thompson, 2000)", "plainTextFormattedCitation" : "(Cobb &amp; Steffe, 1983; Steffe &amp; Thompson, 2000)", "previouslyFormattedCitation" : "(Cobb &amp; Steffe, 1983; Steffe &amp; Thompson, 2000)" }, "properties" : {  }, "schema" : "https://github.com/citation-style-language/schema/raw/master/csl-citation.json" }</w:instrText>
      </w:r>
      <w:r w:rsidRPr="00FF5ABA">
        <w:rPr>
          <w:sz w:val="22"/>
        </w:rPr>
        <w:fldChar w:fldCharType="separate"/>
      </w:r>
      <w:r w:rsidRPr="00FF5ABA">
        <w:rPr>
          <w:sz w:val="22"/>
        </w:rPr>
        <w:t>(Cobb &amp; Steffe, 1983; Steffe &amp; Thompson, 2000)</w:t>
      </w:r>
      <w:r w:rsidRPr="00FF5ABA">
        <w:rPr>
          <w:sz w:val="22"/>
        </w:rPr>
        <w:fldChar w:fldCharType="end"/>
      </w:r>
      <w:r w:rsidRPr="00FF5ABA">
        <w:rPr>
          <w:sz w:val="22"/>
        </w:rPr>
        <w:t>. For prospective teachers (PTs), their understanding of students' mathematical thinking is determined much by what they understand or learn about textual theory or knowledge and little about the strategies that students undertake. Understanding students' strategies will lead prospective teachers to understand students' thinking. This relates to how to interpret students' mathematical thinking.</w:t>
      </w:r>
    </w:p>
    <w:p w:rsidR="00925DB1" w:rsidRPr="00FF5ABA" w:rsidRDefault="00925DB1" w:rsidP="00FF5ABA">
      <w:pPr>
        <w:pStyle w:val="Body"/>
        <w:ind w:firstLine="567"/>
        <w:rPr>
          <w:sz w:val="22"/>
        </w:rPr>
      </w:pPr>
      <w:r w:rsidRPr="00FF5ABA">
        <w:rPr>
          <w:sz w:val="22"/>
        </w:rPr>
        <w:t xml:space="preserve">Interpreting student thinking is an important component of high-quality learning and assessment (NCTM, 2014; Teachingworks, 2012). According to </w:t>
      </w:r>
      <w:r w:rsidRPr="00FF5ABA">
        <w:rPr>
          <w:sz w:val="22"/>
        </w:rPr>
        <w:fldChar w:fldCharType="begin" w:fldLock="1"/>
      </w:r>
      <w:r w:rsidRPr="00FF5ABA">
        <w:rPr>
          <w:sz w:val="22"/>
        </w:rPr>
        <w:instrText>ADDIN CSL_CITATION { "citationItems" : [ { "id" : "ITEM-1", "itemData" : { "ISBN" : "9786027452909", "author" : [ { "dropping-particle" : "", "family" : "Sapti", "given" : "Mujiyem", "non-dropping-particle" : "", "parse-names" : false, "suffix" : "" }, { "dropping-particle" : "", "family" : "Purwanto", "given" : "", "non-dropping-particle" : "", "parse-names" : false, "suffix" : "" }, { "dropping-particle" : "", "family" : "Mulyati", "given" : "Sri", "non-dropping-particle" : "", "parse-names" : false, "suffix" : "" }, { "dropping-particle" : "", "family" : "Irawan", "given" : "Edy Bambang", "non-dropping-particle" : "", "parse-names" : false, "suffix" : "" } ], "container-title" : "Proceeding of 3rd International Conference on Research, Implementation and Education of Mathematics and Science", "id" : "ITEM-1", "issue" : "May", "issued" : { "date-parts" : [ [ "2016" ] ] }, "page" : "435-442", "publisher" : "Faculty of Mathematics and Natural Science Yogyakarta State University", "publisher-place" : "Yogyakarta", "title" : "Pre-service Teacher Interpretations of Students' Mathematical Understanding", "type" : "paper-conference" }, "uris" : [ "http://www.mendeley.com/documents/?uuid=bc8dcc7c-f18c-4ed8-93f5-464347a2a7a5" ] } ], "mendeley" : { "formattedCitation" : "(Sapti, Purwanto, Mulyati, &amp; Irawan, 2016)", "manualFormatting" : "Sapti et al. (2016)", "plainTextFormattedCitation" : "(Sapti, Purwanto, Mulyati, &amp; Irawan, 2016)", "previouslyFormattedCitation" : "(Sapti, Purwanto, Mulyati, &amp; Irawan, 2016)" }, "properties" : {  }, "schema" : "https://github.com/citation-style-language/schema/raw/master/csl-citation.json" }</w:instrText>
      </w:r>
      <w:r w:rsidRPr="00FF5ABA">
        <w:rPr>
          <w:sz w:val="22"/>
        </w:rPr>
        <w:fldChar w:fldCharType="separate"/>
      </w:r>
      <w:r w:rsidRPr="00FF5ABA">
        <w:rPr>
          <w:sz w:val="22"/>
        </w:rPr>
        <w:t>Sapti</w:t>
      </w:r>
      <w:r w:rsidR="003942DA" w:rsidRPr="00FF5ABA">
        <w:rPr>
          <w:sz w:val="22"/>
        </w:rPr>
        <w:t>, Purwanto, Mulyati, and Irawan</w:t>
      </w:r>
      <w:r w:rsidRPr="00FF5ABA">
        <w:rPr>
          <w:sz w:val="22"/>
        </w:rPr>
        <w:t xml:space="preserve"> (2016)</w:t>
      </w:r>
      <w:r w:rsidRPr="00FF5ABA">
        <w:rPr>
          <w:sz w:val="22"/>
        </w:rPr>
        <w:fldChar w:fldCharType="end"/>
      </w:r>
      <w:r w:rsidRPr="00FF5ABA">
        <w:rPr>
          <w:sz w:val="22"/>
        </w:rPr>
        <w:t xml:space="preserve">, interpreting students’ mathematical thinking is “giving impression, opinion, or a theoretical view towards mathematical information in the form of students' written work in solving problems”. A key factor in interpreting students’ work is the ability to see essential aspects of students' mathematical thinking </w:t>
      </w:r>
      <w:r w:rsidRPr="00FF5ABA">
        <w:rPr>
          <w:sz w:val="22"/>
        </w:rPr>
        <w:fldChar w:fldCharType="begin" w:fldLock="1"/>
      </w:r>
      <w:r w:rsidRPr="00FF5ABA">
        <w:rPr>
          <w:sz w:val="22"/>
        </w:rPr>
        <w:instrText>ADDIN CSL_CITATION { "citationItems" : [ { "id" : "ITEM-1", "itemData" : { "DOI" : "10.2307/20720130", "ISBN" : "0021-8251", "ISSN" : "00218251",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The construct professional noticing of children s mathematical thinking is introduced as a way to begin to unpack the in-the-moment decision making that is foundational to the complex view of teaching endorsed in national reform documents. We define this expertise as a set of interrelated skills including (a) attending to children's strate gies, (b) interpreting children's understandings, and (c) deciding how to respond on the basis of children's understandings. This construct was assessed in a cross-sectional study of 131 prospective and practicing teachers, differing in the amount of experience they had with children's mathematical thinking. The findings help to characterize what this expertise entails; provide snapshots of those with varied levels of expertise; and document that, given time, this expertise can be learned.", "author" : [ { "dropping-particle" : "", "family" : "Jacobs", "given" : "Victoria R", "non-dropping-particle" : "", "parse-names" : false, "suffix" : "" }, { "dropping-particle" : "", "family" : "Lamb", "given" : "Lisa L C", "non-dropping-particle" : "", "parse-names" : false, "suffix" : "" }, { "dropping-particle" : "", "family" : "Philipp", "given" : "Randolph A", "non-dropping-particle" : "", "parse-names" : false, "suffix" : "" } ], "container-title" : "Journal for Research in Mathematics Education Journal for Research in Mathematics Education", "id" : "ITEM-1", "issue" : "2", "issued" : { "date-parts" : [ [ "2010" ] ] }, "page" : "169-202", "title" : "Professional Noticing of Children's Mathematical Thinking", "type" : "article-journal", "volume" : "41" }, "uris" : [ "http://www.mendeley.com/documents/?uuid=59799b40-6fe0-4084-a666-8934ded7a4dc" ] }, { "id" : "ITEM-2", "itemData" : { "DOI" : "10.4324/9780203832714", "ISBN" : "9780203832714", "ISSN" : "1479-4802", "abstract" : "Situating the study of teacher noticing / Miriam Gamoran Sherin, Victoria R. Jacobs and Randolph A. Philipp -- On noticing teacher noticing / Frederick Erickson -- Noticing: roots and branches / John Mason -- Situation awareness in teaching: what educators can learn from video-based research in other fields / Kevin F. Miller -- Reflections on the study of teacher noticing / Bruce Sherin and Jon R. Star -- Accessing mathematics teachers' in-the-moment noticing / Miriam Gamoran Sherin, Rosemary S. Russ and Adam A. Colestock -- Deciding how to respond on the basis of children's understandings / Victoria R. Jacobs ... [et al.] -- Using video to improve preservice mathematics teachers' abilities to attend to classroom features: a replication study / Jon R. Star, Kathleen Lynch, and Natasha Perova -- A framework for learning to notice student thinking / Elizabeth A. van Es -- From teacher noticing to a framework for analyzing and improving classroom lessons / Rossella Santagata -- Using classroom artifacts to focus teachers' noticing: affordances and opportunities / Lynn T. Goldsmith and Nanette Seago -- Noticing leaders' thinking about videocases of teachers engaged in mathematics tasks in professional development / Elham Kazemi ... [et al.] -- Examining the behavior of operations: noticing early algebraic ideas / Deborah Schifter -- Noticing matters. A lot. Now what? / Alan H. Schoenfeld.", "author" : [ { "dropping-particle" : "", "family" : "Sherin", "given" : "Miriam Gamoran", "non-dropping-particle" : "", "parse-names" : false, "suffix" : "" }, { "dropping-particle" : "", "family" : "Jacobs", "given" : "Victoria R.", "non-dropping-particle" : "", "parse-names" : false, "suffix" : "" }, { "dropping-particle" : "", "family" : "Philipp", "given" : "Randolph A.", "non-dropping-particle" : "", "parse-names" : false, "suffix" : "" } ], "id" : "ITEM-2", "issue" : "200800110", "issued" : { "date-parts" : [ [ "2011" ] ] }, "number-of-pages" : "1-249", "publisher" : "Roudledge-Falmer", "publisher-place" : "New York", "title" : "Mathematics teacher noticing seeing through teachers' eyes", "type" : "book" }, "uris" : [ "http://www.mendeley.com/documents/?uuid=4ff19591-c498-422d-ac20-4a0ed9d051fb" ] }, { "id" : "ITEM-3", "itemData" : { "ISBN" : "1059-7069", "ISSN" : "10597069", "abstract" : "Mathematics and science education reforms encourage teach-ers to base their instruction in part on the lesson as it unfolds in the classroom, paying particular attention to the ideas that students raise. This ability to adapt instruction in the moment requires that teachers be able to notice and interpret aspects of classroom interactions that are key to reform teaching. This paper defines what it means to \" notice \" in the context of reform and describes a multimedia tool designed to help teachers learn to do so. The authors then report on a study in which six mathematics and science teachers seeking second-ary teaching certification used the software to examine teach-ing. The results suggest that use of the software helped the teachers to develop new ways to analyze instruction. Specifi-cally, the teachers began to identify particular events in their classroom interactions as noteworthy, to more frequently use specific evidence to discuss these events, and to provide their own interpretations of these events. This research adds to our understanding of teacher cognition and also has impli-cations for those who are designing and implementing teach-er education in the context of reform. A key tenet of mathematics and science education reform is the creation of classroom environments in which teachers make pedagogical decisions in the midst of instruction. In the mathematics classroom, teachers and students are expected to listen carefully to one another's ideas, with teachers adapting 572 van Es and Sherin their instruction, at least in part, based on the ideas that students raise (Na-tional Council of Teachers of Mathematics [NCTM], 2000; Smith, 1996). Similarly, teachers of inquiry-based science curricula are encouraged to lis-ten to and interpret students' ideas and to use those ideas to help students in-vestigate authentic questions (Hammer, 2000; van Zee &amp; Minstrell, 1997; National Research Council [NRC], 1996; American Association for the Ad-vancement of Science [AAAS], 1993). The authors claim that this view of teaching and learning requires that teachers develop new ways of noticing and interpreting classroom interactions. However, current programs of teacher education often do not focus on helping teachers learn to interpret classroom interactions. Instead, they focus on helping teachers learn to act, often providing them with instruction concerning new pedagogical tech-niques and new activities that they can use (Berliner, 2000; Day, 1999; Hul-\u2026", "author" : [ { "dropping-particle" : "", "family" : "Es", "given" : "Elizabeth A", "non-dropping-particle" : "van", "parse-names" : false, "suffix" : "" }, { "dropping-particle" : "", "family" : "Sherin", "given" : "Miriam Gamoran", "non-dropping-particle" : "", "parse-names" : false, "suffix" : "" } ], "container-title" : "Journal of Technology and Teacher Education", "id" : "ITEM-3", "issue" : "4", "issued" : { "date-parts" : [ [ "2002" ] ] }, "page" : "571-596", "title" : "Learning to Notice: Scaffolding New Teachers' Interpretations of Classroom Interactions", "type" : "article-journal", "volume" : "10" }, "uris" : [ "http://www.mendeley.com/documents/?uuid=82de394b-03f3-4dcb-a2e3-f74832707b9b" ] } ], "mendeley" : { "formattedCitation" : "(Jacobs, Lamb, &amp; Philipp, 2010; Sherin, Jacobs, &amp; Philipp, 2011; van Es &amp; Sherin, 2002)", "plainTextFormattedCitation" : "(Jacobs, Lamb, &amp; Philipp, 2010; Sherin, Jacobs, &amp; Philipp, 2011; van Es &amp; Sherin, 2002)", "previouslyFormattedCitation" : "(Jacobs, Lamb, &amp; Philipp, 2010; Sherin, Jacobs, &amp; Philipp, 2011; van Es &amp; Sherin, 2002)" }, "properties" : {  }, "schema" : "https://github.com/citation-style-language/schema/raw/master/csl-citation.json" }</w:instrText>
      </w:r>
      <w:r w:rsidRPr="00FF5ABA">
        <w:rPr>
          <w:sz w:val="22"/>
        </w:rPr>
        <w:fldChar w:fldCharType="separate"/>
      </w:r>
      <w:r w:rsidRPr="00FF5ABA">
        <w:rPr>
          <w:sz w:val="22"/>
        </w:rPr>
        <w:t>(Jacobs, Lamb, &amp; Philipp, 2010; Sherin, Jacobs, &amp; Philipp, 2011; van Es &amp; Sherin, 2002)</w:t>
      </w:r>
      <w:r w:rsidRPr="00FF5ABA">
        <w:rPr>
          <w:sz w:val="22"/>
        </w:rPr>
        <w:fldChar w:fldCharType="end"/>
      </w:r>
      <w:r w:rsidRPr="00FF5ABA">
        <w:rPr>
          <w:sz w:val="22"/>
        </w:rPr>
        <w:t>. Paying attention to students’ mathematical thinking does not only require attention to children's strategies but also interpretation of mathematical understanding reflected in these strategies. Identifying the extent to which the teacher's evidence shows in interpreting children's understanding is not looking for the best single interpret</w:t>
      </w:r>
      <w:r w:rsidR="00B44C71" w:rsidRPr="00FF5ABA">
        <w:rPr>
          <w:sz w:val="22"/>
        </w:rPr>
        <w:t xml:space="preserve">/scn </w:t>
      </w:r>
      <w:r w:rsidRPr="00FF5ABA">
        <w:rPr>
          <w:sz w:val="22"/>
        </w:rPr>
        <w:t xml:space="preserve">ation but the extent to which participant interpretation is consistent with the details of certain children's strategies and research on children's mathematical development </w:t>
      </w:r>
      <w:r w:rsidRPr="00FF5ABA">
        <w:rPr>
          <w:sz w:val="22"/>
        </w:rPr>
        <w:fldChar w:fldCharType="begin" w:fldLock="1"/>
      </w:r>
      <w:r w:rsidRPr="00FF5ABA">
        <w:rPr>
          <w:sz w:val="22"/>
        </w:rPr>
        <w:instrText>ADDIN CSL_CITATION { "citationItems" : [ { "id" : "ITEM-1", "itemData" : { "DOI" : "10.2307/20720130", "ISBN" : "0021-8251", "ISSN" : "00218251",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The construct professional noticing of children s mathematical thinking is introduced as a way to begin to unpack the in-the-moment decision making that is foundational to the complex view of teaching endorsed in national reform documents. We define this expertise as a set of interrelated skills including (a) attending to children's strate gies, (b) interpreting children's understandings, and (c) deciding how to respond on the basis of children's understandings. This construct was assessed in a cross-sectional study of 131 prospective and practicing teachers, differing in the amount of experience they had with children's mathematical thinking. The findings help to characterize what this expertise entails; provide snapshots of those with varied levels of expertise; and document that, given time, this expertise can be learned.", "author" : [ { "dropping-particle" : "", "family" : "Jacobs", "given" : "Victoria R", "non-dropping-particle" : "", "parse-names" : false, "suffix" : "" }, { "dropping-particle" : "", "family" : "Lamb", "given" : "Lisa L C", "non-dropping-particle" : "", "parse-names" : false, "suffix" : "" }, { "dropping-particle" : "", "family" : "Philipp", "given" : "Randolph A", "non-dropping-particle" : "", "parse-names" : false, "suffix" : "" } ], "container-title" : "Journal for Research in Mathematics Education Journal for Research in Mathematics Education", "id" : "ITEM-1", "issue" : "2", "issued" : { "date-parts" : [ [ "2010" ] ] }, "page" : "169-202", "title" : "Professional Noticing of Children's Mathematical Thinking", "type" : "article-journal", "volume" : "41" }, "uris" : [ "http://www.mendeley.com/documents/?uuid=59799b40-6fe0-4084-a666-8934ded7a4dc" ] } ], "mendeley" : { "formattedCitation" : "(Jacobs et al., 2010)", "plainTextFormattedCitation" : "(Jacobs et al., 2010)", "previouslyFormattedCitation" : "(Jacobs et al., 2010)" }, "properties" : {  }, "schema" : "https://github.com/citation-style-language/schema/raw/master/csl-citation.json" }</w:instrText>
      </w:r>
      <w:r w:rsidRPr="00FF5ABA">
        <w:rPr>
          <w:sz w:val="22"/>
        </w:rPr>
        <w:fldChar w:fldCharType="separate"/>
      </w:r>
      <w:r w:rsidRPr="00FF5ABA">
        <w:rPr>
          <w:sz w:val="22"/>
        </w:rPr>
        <w:t>(Jacobs et al., 2010)</w:t>
      </w:r>
      <w:r w:rsidRPr="00FF5ABA">
        <w:rPr>
          <w:sz w:val="22"/>
        </w:rPr>
        <w:fldChar w:fldCharType="end"/>
      </w:r>
      <w:r w:rsidRPr="00FF5ABA">
        <w:rPr>
          <w:sz w:val="22"/>
        </w:rPr>
        <w:t xml:space="preserve">. Teachers can interpret students' mathematical thinking by identifying strategies that students might use in </w:t>
      </w:r>
      <w:r w:rsidR="004C7EA5" w:rsidRPr="00FF5ABA">
        <w:rPr>
          <w:sz w:val="22"/>
        </w:rPr>
        <w:t xml:space="preserve">solving a </w:t>
      </w:r>
      <w:r w:rsidRPr="00FF5ABA">
        <w:rPr>
          <w:sz w:val="22"/>
        </w:rPr>
        <w:t xml:space="preserve">problem. Teachers can also identify why certain problems become difficult and cause problems considering the characteristics of students' thinking. At the end, students’ mathematical thinking can be connected to providing appropriate learning opportunities because different mathematical thinking might require different learning approaches. </w:t>
      </w:r>
    </w:p>
    <w:p w:rsidR="00925DB1" w:rsidRPr="00FF5ABA" w:rsidRDefault="00925DB1" w:rsidP="00FF5ABA">
      <w:pPr>
        <w:pStyle w:val="Body"/>
        <w:ind w:firstLine="567"/>
        <w:rPr>
          <w:sz w:val="22"/>
        </w:rPr>
      </w:pPr>
      <w:r w:rsidRPr="00FF5ABA">
        <w:rPr>
          <w:sz w:val="22"/>
        </w:rPr>
        <w:t xml:space="preserve">Despite the importance of interpreting students’ mathematical thinking, a number of studies show prospective teachers’ sufficient skill in this respect. </w:t>
      </w:r>
      <w:r w:rsidRPr="00FF5ABA">
        <w:rPr>
          <w:sz w:val="22"/>
        </w:rPr>
        <w:fldChar w:fldCharType="begin" w:fldLock="1"/>
      </w:r>
      <w:r w:rsidR="00B44C71" w:rsidRPr="00FF5ABA">
        <w:rPr>
          <w:sz w:val="22"/>
        </w:rPr>
        <w:instrText>ADDIN CSL_CITATION { "citationItems" : [ { "id" : "ITEM-1", "itemData" : { "DOI" : "10.2307/20720130", "ISBN" : "0021-8251", "ISSN" : "00218251",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The construct professional noticing of children s mathematical thinking is introduced as a way to begin to unpack the in-the-moment decision making that is foundational to the complex view of teaching endorsed in national reform documents. We define this expertise as a set of interrelated skills including (a) attending to children's strate gies, (b) interpreting children's understandings, and (c) deciding how to respond on the basis of children's understandings. This construct was assessed in a cross-sectional study of 131 prospective and practicing teachers, differing in the amount of experience they had with children's mathematical thinking. The findings help to characterize what this expertise entails; provide snapshots of those with varied levels of expertise; and document that, given time, this expertise can be learned.", "author" : [ { "dropping-particle" : "", "family" : "Jacobs", "given" : "Victoria R", "non-dropping-particle" : "", "parse-names" : false, "suffix" : "" }, { "dropping-particle" : "", "family" : "Lamb", "given" : "Lisa L C", "non-dropping-particle" : "", "parse-names" : false, "suffix" : "" }, { "dropping-particle" : "", "family" : "Philipp", "given" : "Randolph A", "non-dropping-particle" : "", "parse-names" : false, "suffix" : "" } ], "container-title" : "Journal for Research in Mathematics Education Journal for Research in Mathematics Education", "id" : "ITEM-1", "issue" : "2", "issued" : { "date-parts" : [ [ "2010" ] ] }, "page" : "169-202", "title" : "Professional Noticing of Children's Mathematical Thinking", "type" : "article-journal", "volume" : "41" }, "uris" : [ "http://www.mendeley.com/documents/?uuid=59799b40-6fe0-4084-a666-8934ded7a4dc", "http://www.mendeley.com/documents/?uuid=611ba955-58a6-49c0-8532-05d4bfa4eced" ] } ], "mendeley" : { "formattedCitation" : "(Jacobs et al., 2010)", "manualFormatting" : "Jacobs, Lambs, and Phillip (2010)", "plainTextFormattedCitation" : "(Jacobs et al., 2010)", "previouslyFormattedCitation" : "(Jacobs et al., 2010)" }, "properties" : {  }, "schema" : "https://github.com/citation-style-language/schema/raw/master/csl-citation.json" }</w:instrText>
      </w:r>
      <w:r w:rsidRPr="00FF5ABA">
        <w:rPr>
          <w:sz w:val="22"/>
        </w:rPr>
        <w:fldChar w:fldCharType="separate"/>
      </w:r>
      <w:r w:rsidRPr="00FF5ABA">
        <w:rPr>
          <w:noProof/>
          <w:sz w:val="22"/>
        </w:rPr>
        <w:t>Jacobs, Lambs, and Phillip (2010)</w:t>
      </w:r>
      <w:r w:rsidRPr="00FF5ABA">
        <w:rPr>
          <w:sz w:val="22"/>
        </w:rPr>
        <w:fldChar w:fldCharType="end"/>
      </w:r>
      <w:r w:rsidRPr="00FF5ABA">
        <w:rPr>
          <w:sz w:val="22"/>
        </w:rPr>
        <w:t xml:space="preserve"> revealed that prospective teachers and beginner elementary school teachers experience difficulties in identifying and interpreting student strategies. Similarly, Shaughnessy, Boerst, and Ball (2014) and Sleep and Boerst (2012) also found that beginner teachers have difficulties in interpreting students’ </w:t>
      </w:r>
      <w:r w:rsidRPr="00FF5ABA">
        <w:rPr>
          <w:sz w:val="22"/>
        </w:rPr>
        <w:lastRenderedPageBreak/>
        <w:t xml:space="preserve">mathematical thinking and appropriate learning approaches. Due to their lack of teaching experiences, prospective teachers have limited knowledge and experiences about the various strategies of students in solving the problem. Their understanding of student strategies might heavily rely on their theoretical experiences from lecturers and/or their own prior experiences as students. Prospective teachers will compare students’ actions with their own actions, either implicitly or explicitly </w:t>
      </w:r>
      <w:r w:rsidRPr="00FF5ABA">
        <w:rPr>
          <w:sz w:val="22"/>
        </w:rPr>
        <w:fldChar w:fldCharType="begin" w:fldLock="1"/>
      </w:r>
      <w:r w:rsidR="007A7B95" w:rsidRPr="00FF5ABA">
        <w:rPr>
          <w:sz w:val="22"/>
        </w:rPr>
        <w:instrText>ADDIN CSL_CITATION { "citationItems" : [ { "id" : "ITEM-1", "itemData" : { "DOI" : "10.5951/jresematheduc.42.1.0039", "ISBN" : "0021-8251", "ISSN" : "00218251", "abstract" : "This study investigated the processes used by prospective mathematics teachers as they examined middle-school students\u2019 work solving statistical problems using a computer software program. Students\u2019 work on the tasks was captured in a videocase used by prospective teachers enrolled in a mathematics education course focused on teaching secondary mathematics with technology. The researchers developed a model for characterizing prospective teachers\u2019 attention to students\u2019 work and actions and interpretations of students\u2019 mathematical thinking. The model facilitated the identi- fication of four categories: describing, comparing, inferring, and restructuring. Ways in which the model may be used by other researchers and implications for the design of pedagogical tasks for prospective teachers are discussed.", "author" : [ { "dropping-particle" : "", "family" : "Wilson", "given" : "P. Holt", "non-dropping-particle" : "", "parse-names" : false, "suffix" : "" }, { "dropping-particle" : "", "family" : "Lee", "given" : "Hollylynne Stohl", "non-dropping-particle" : "", "parse-names" : false, "suffix" : "" }, { "dropping-particle" : "", "family" : "Hollebrands", "given" : "Karen F.", "non-dropping-particle" : "", "parse-names" : false, "suffix" : "" } ], "container-title" : "Journal for Research in Mathematics Education", "id" : "ITEM-1", "issue" : "1", "issued" : { "date-parts" : [ [ "2011" ] ] }, "page" : "39-64", "title" : "Understanding prospective mathematics teachers' processes for making sense of students' work with technology", "type" : "article-journal", "volume" : "42" }, "uris" : [ "http://www.mendeley.com/documents/?uuid=862337c7-8621-41a3-8676-47903b40430e" ] } ], "mendeley" : { "formattedCitation" : "(P. H. Wilson, Lee, &amp; Hollebrands, 2011)", "plainTextFormattedCitation" : "(P. H. Wilson, Lee, &amp; Hollebrands, 2011)", "previouslyFormattedCitation" : "(P. H. Wilson, Lee, &amp; Hollebrands, 2011)" }, "properties" : {  }, "schema" : "https://github.com/citation-style-language/schema/raw/master/csl-citation.json" }</w:instrText>
      </w:r>
      <w:r w:rsidRPr="00FF5ABA">
        <w:rPr>
          <w:sz w:val="22"/>
        </w:rPr>
        <w:fldChar w:fldCharType="separate"/>
      </w:r>
      <w:r w:rsidR="003942DA" w:rsidRPr="00FF5ABA">
        <w:rPr>
          <w:noProof/>
          <w:sz w:val="22"/>
        </w:rPr>
        <w:t>(</w:t>
      </w:r>
      <w:r w:rsidR="007A7B95" w:rsidRPr="00FF5ABA">
        <w:rPr>
          <w:noProof/>
          <w:sz w:val="22"/>
        </w:rPr>
        <w:t>Wilson, Lee, &amp; Hollebrands, 2011)</w:t>
      </w:r>
      <w:r w:rsidRPr="00FF5ABA">
        <w:rPr>
          <w:sz w:val="22"/>
        </w:rPr>
        <w:fldChar w:fldCharType="end"/>
      </w:r>
      <w:r w:rsidRPr="00FF5ABA">
        <w:rPr>
          <w:sz w:val="22"/>
        </w:rPr>
        <w:t xml:space="preserve">. Such situation is called comparing model analysis. Based on that, to interpret students’mathematical thinking, prospective teachers analyze by comparing, i.e., equating or differentiating student strategy artifacts with their own work or concept.  This allows the emergence of two types comparing model: comparing work and comparing knowledge. </w:t>
      </w:r>
    </w:p>
    <w:p w:rsidR="00925DB1" w:rsidRPr="00FF5ABA" w:rsidRDefault="00925DB1" w:rsidP="00FF5ABA">
      <w:pPr>
        <w:pStyle w:val="Body"/>
        <w:ind w:firstLine="567"/>
        <w:rPr>
          <w:sz w:val="22"/>
        </w:rPr>
      </w:pPr>
      <w:r w:rsidRPr="00FF5ABA">
        <w:rPr>
          <w:sz w:val="22"/>
        </w:rPr>
        <w:t xml:space="preserve">Comparing is one of model-building process in interpreting students’ mathematical thinking. This relates to the process of building interpretations of students' thinking based on student learning activities. </w:t>
      </w:r>
      <w:r w:rsidRPr="00FF5ABA">
        <w:rPr>
          <w:sz w:val="22"/>
        </w:rPr>
        <w:fldChar w:fldCharType="begin" w:fldLock="1"/>
      </w:r>
      <w:r w:rsidR="007A7B95" w:rsidRPr="00FF5ABA">
        <w:rPr>
          <w:sz w:val="22"/>
        </w:rPr>
        <w:instrText>ADDIN CSL_CITATION { "citationItems" : [ { "id" : "ITEM-1", "itemData" : { "DOI" : "10.5951/jresematheduc.42.1.0039", "ISBN" : "0021-8251", "ISSN" : "00218251", "abstract" : "This study investigated the processes used by prospective mathematics teachers as they examined middle-school students\u2019 work solving statistical problems using a computer software program. Students\u2019 work on the tasks was captured in a videocase used by prospective teachers enrolled in a mathematics education course focused on teaching secondary mathematics with technology. The researchers developed a model for characterizing prospective teachers\u2019 attention to students\u2019 work and actions and interpretations of students\u2019 mathematical thinking. The model facilitated the identi- fication of four categories: describing, comparing, inferring, and restructuring. Ways in which the model may be used by other researchers and implications for the design of pedagogical tasks for prospective teachers are discussed.", "author" : [ { "dropping-particle" : "", "family" : "Wilson", "given" : "P. Holt", "non-dropping-particle" : "", "parse-names" : false, "suffix" : "" }, { "dropping-particle" : "", "family" : "Lee", "given" : "Hollylynne Stohl", "non-dropping-particle" : "", "parse-names" : false, "suffix" : "" }, { "dropping-particle" : "", "family" : "Hollebrands", "given" : "Karen F.", "non-dropping-particle" : "", "parse-names" : false, "suffix" : "" } ], "container-title" : "Journal for Research in Mathematics Education", "id" : "ITEM-1", "issue" : "1", "issued" : { "date-parts" : [ [ "2011" ] ] }, "page" : "39-64", "title" : "Understanding prospective mathematics teachers' processes for making sense of students' work with technology", "type" : "article-journal", "volume" : "42" }, "uris" : [ "http://www.mendeley.com/documents/?uuid=862337c7-8621-41a3-8676-47903b40430e" ] } ], "mendeley" : { "formattedCitation" : "(P. H. Wilson et al., 2011)", "manualFormatting" : "Wilson et al. (2011)", "plainTextFormattedCitation" : "(P. H. Wilson et al., 2011)", "previouslyFormattedCitation" : "(P. H. Wilson et al., 2011)" }, "properties" : {  }, "schema" : "https://github.com/citation-style-language/schema/raw/master/csl-citation.json" }</w:instrText>
      </w:r>
      <w:r w:rsidRPr="00FF5ABA">
        <w:rPr>
          <w:sz w:val="22"/>
        </w:rPr>
        <w:fldChar w:fldCharType="separate"/>
      </w:r>
      <w:r w:rsidRPr="00FF5ABA">
        <w:rPr>
          <w:noProof/>
          <w:sz w:val="22"/>
        </w:rPr>
        <w:t>Wilson et al. (2011)</w:t>
      </w:r>
      <w:r w:rsidRPr="00FF5ABA">
        <w:rPr>
          <w:sz w:val="22"/>
        </w:rPr>
        <w:fldChar w:fldCharType="end"/>
      </w:r>
      <w:r w:rsidRPr="00FF5ABA">
        <w:rPr>
          <w:sz w:val="22"/>
        </w:rPr>
        <w:t xml:space="preserve"> depicted a comparing model in the process of constructing interpretations as two separately parallel boxes (see Figure 1). One box contains prospective teachers’ (PTs) thinking (TT ) and their written work (TW) and the other box contains a student’s thinking (ST) and their written work (SW) </w:t>
      </w:r>
      <w:r w:rsidRPr="00FF5ABA">
        <w:rPr>
          <w:sz w:val="22"/>
        </w:rPr>
        <w:fldChar w:fldCharType="begin" w:fldLock="1"/>
      </w:r>
      <w:r w:rsidR="007A7B95" w:rsidRPr="00FF5ABA">
        <w:rPr>
          <w:sz w:val="22"/>
        </w:rPr>
        <w:instrText>ADDIN CSL_CITATION { "citationItems" : [ { "id" : "ITEM-1", "itemData" : { "DOI" : "10.5951/jresematheduc.42.1.0039", "ISBN" : "0021-8251", "ISSN" : "00218251", "abstract" : "This study investigated the processes used by prospective mathematics teachers as they examined middle-school students\u2019 work solving statistical problems using a computer software program. Students\u2019 work on the tasks was captured in a videocase used by prospective teachers enrolled in a mathematics education course focused on teaching secondary mathematics with technology. The researchers developed a model for characterizing prospective teachers\u2019 attention to students\u2019 work and actions and interpretations of students\u2019 mathematical thinking. The model facilitated the identi- fication of four categories: describing, comparing, inferring, and restructuring. Ways in which the model may be used by other researchers and implications for the design of pedagogical tasks for prospective teachers are discussed.", "author" : [ { "dropping-particle" : "", "family" : "Wilson", "given" : "P. Holt", "non-dropping-particle" : "", "parse-names" : false, "suffix" : "" }, { "dropping-particle" : "", "family" : "Lee", "given" : "Hollylynne Stohl", "non-dropping-particle" : "", "parse-names" : false, "suffix" : "" }, { "dropping-particle" : "", "family" : "Hollebrands", "given" : "Karen F.", "non-dropping-particle" : "", "parse-names" : false, "suffix" : "" } ], "container-title" : "Journal for Research in Mathematics Education", "id" : "ITEM-1", "issue" : "1", "issued" : { "date-parts" : [ [ "2011" ] ] }, "page" : "39-64", "title" : "Understanding prospective mathematics teachers' processes for making sense of students' work with technology", "type" : "article-journal", "volume" : "42" }, "uris" : [ "http://www.mendeley.com/documents/?uuid=862337c7-8621-41a3-8676-47903b40430e" ] } ], "mendeley" : { "formattedCitation" : "(P. H. Wilson et al., 2011)", "manualFormatting" : "(Wilson et al., 2011)", "plainTextFormattedCitation" : "(P. H. Wilson et al., 2011)", "previouslyFormattedCitation" : "(P. H. Wilson et al., 2011)" }, "properties" : {  }, "schema" : "https://github.com/citation-style-language/schema/raw/master/csl-citation.json" }</w:instrText>
      </w:r>
      <w:r w:rsidRPr="00FF5ABA">
        <w:rPr>
          <w:sz w:val="22"/>
        </w:rPr>
        <w:fldChar w:fldCharType="separate"/>
      </w:r>
      <w:r w:rsidR="00480A4C" w:rsidRPr="00FF5ABA">
        <w:rPr>
          <w:noProof/>
          <w:sz w:val="22"/>
        </w:rPr>
        <w:t>(</w:t>
      </w:r>
      <w:r w:rsidR="00B44C71" w:rsidRPr="00FF5ABA">
        <w:rPr>
          <w:noProof/>
          <w:sz w:val="22"/>
        </w:rPr>
        <w:t>Wilson et al., 2011)</w:t>
      </w:r>
      <w:r w:rsidRPr="00FF5ABA">
        <w:rPr>
          <w:sz w:val="22"/>
        </w:rPr>
        <w:fldChar w:fldCharType="end"/>
      </w:r>
      <w:r w:rsidRPr="00FF5ABA">
        <w:rPr>
          <w:sz w:val="22"/>
        </w:rPr>
        <w:t xml:space="preserve">. The arrows were used to represent a PST focusing on his or her attention. We used solid arrow to indicate explicit evidence of a PST’s attention and dotted arrow to indicate an implicit of a PST’s attention. </w:t>
      </w:r>
    </w:p>
    <w:p w:rsidR="00E91573" w:rsidRDefault="00E91573" w:rsidP="00925DB1">
      <w:pPr>
        <w:spacing w:after="0" w:line="360" w:lineRule="auto"/>
        <w:ind w:firstLine="567"/>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14D6D2B" wp14:editId="5261EDD3">
                <wp:simplePos x="0" y="0"/>
                <wp:positionH relativeFrom="column">
                  <wp:posOffset>-76200</wp:posOffset>
                </wp:positionH>
                <wp:positionV relativeFrom="paragraph">
                  <wp:posOffset>126365</wp:posOffset>
                </wp:positionV>
                <wp:extent cx="6063615" cy="230886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2308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4F0" w:rsidRDefault="005344F0" w:rsidP="004C7EA5">
                            <w:pPr>
                              <w:spacing w:after="0"/>
                              <w:suppressOverlap/>
                              <w:jc w:val="center"/>
                            </w:pPr>
                            <w:r w:rsidRPr="00F720AA">
                              <w:rPr>
                                <w:noProof/>
                              </w:rPr>
                              <w:drawing>
                                <wp:inline distT="0" distB="0" distL="0" distR="0" wp14:anchorId="65556B18" wp14:editId="18FA71B4">
                                  <wp:extent cx="914400" cy="1084881"/>
                                  <wp:effectExtent l="0" t="0" r="0" b="127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17251" cy="1088264"/>
                                          </a:xfrm>
                                          <a:prstGeom prst="rect">
                                            <a:avLst/>
                                          </a:prstGeom>
                                          <a:noFill/>
                                          <a:ln w="9525">
                                            <a:noFill/>
                                            <a:miter lim="800000"/>
                                            <a:headEnd/>
                                            <a:tailEnd/>
                                          </a:ln>
                                        </pic:spPr>
                                      </pic:pic>
                                    </a:graphicData>
                                  </a:graphic>
                                </wp:inline>
                              </w:drawing>
                            </w:r>
                          </w:p>
                          <w:p w:rsidR="005344F0" w:rsidRDefault="005344F0" w:rsidP="004C7EA5">
                            <w:pPr>
                              <w:spacing w:after="0"/>
                              <w:suppressOverlap/>
                              <w:jc w:val="center"/>
                            </w:pPr>
                            <w:r w:rsidRPr="00F720AA">
                              <w:rPr>
                                <w:noProof/>
                              </w:rPr>
                              <w:drawing>
                                <wp:inline distT="0" distB="0" distL="0" distR="0" wp14:anchorId="5AE8D524" wp14:editId="31459C3F">
                                  <wp:extent cx="1758043" cy="109257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760450" cy="1094066"/>
                                          </a:xfrm>
                                          <a:prstGeom prst="rect">
                                            <a:avLst/>
                                          </a:prstGeom>
                                          <a:noFill/>
                                          <a:ln w="9525">
                                            <a:noFill/>
                                            <a:miter lim="800000"/>
                                            <a:headEnd/>
                                            <a:tailEnd/>
                                          </a:ln>
                                        </pic:spPr>
                                      </pic:pic>
                                    </a:graphicData>
                                  </a:graphic>
                                </wp:inline>
                              </w:drawing>
                            </w:r>
                          </w:p>
                          <w:p w:rsidR="005344F0" w:rsidRDefault="005344F0" w:rsidP="00925DB1">
                            <w:pPr>
                              <w:spacing w:after="0"/>
                              <w:suppressOverlap/>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9.95pt;width:477.45pt;height:18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" stroked="f">
                <v:textbox>
                  <w:txbxContent>
                    <w:p w:rsidR="005344F0" w:rsidRDefault="005344F0" w:rsidP="004C7EA5">
                      <w:pPr>
                        <w:spacing w:after="0"/>
                        <w:suppressOverlap/>
                        <w:jc w:val="center"/>
                      </w:pPr>
                      <w:r w:rsidRPr="00F720AA">
                        <w:rPr>
                          <w:noProof/>
                        </w:rPr>
                        <w:drawing>
                          <wp:inline distT="0" distB="0" distL="0" distR="0" wp14:anchorId="65556B18" wp14:editId="18FA71B4">
                            <wp:extent cx="914400" cy="1084881"/>
                            <wp:effectExtent l="0" t="0" r="0" b="127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17251" cy="1088264"/>
                                    </a:xfrm>
                                    <a:prstGeom prst="rect">
                                      <a:avLst/>
                                    </a:prstGeom>
                                    <a:noFill/>
                                    <a:ln w="9525">
                                      <a:noFill/>
                                      <a:miter lim="800000"/>
                                      <a:headEnd/>
                                      <a:tailEnd/>
                                    </a:ln>
                                  </pic:spPr>
                                </pic:pic>
                              </a:graphicData>
                            </a:graphic>
                          </wp:inline>
                        </w:drawing>
                      </w:r>
                    </w:p>
                    <w:p w:rsidR="005344F0" w:rsidRDefault="005344F0" w:rsidP="004C7EA5">
                      <w:pPr>
                        <w:spacing w:after="0"/>
                        <w:suppressOverlap/>
                        <w:jc w:val="center"/>
                      </w:pPr>
                      <w:r w:rsidRPr="00F720AA">
                        <w:rPr>
                          <w:noProof/>
                        </w:rPr>
                        <w:drawing>
                          <wp:inline distT="0" distB="0" distL="0" distR="0" wp14:anchorId="5AE8D524" wp14:editId="31459C3F">
                            <wp:extent cx="1758043" cy="109257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760450" cy="1094066"/>
                                    </a:xfrm>
                                    <a:prstGeom prst="rect">
                                      <a:avLst/>
                                    </a:prstGeom>
                                    <a:noFill/>
                                    <a:ln w="9525">
                                      <a:noFill/>
                                      <a:miter lim="800000"/>
                                      <a:headEnd/>
                                      <a:tailEnd/>
                                    </a:ln>
                                  </pic:spPr>
                                </pic:pic>
                              </a:graphicData>
                            </a:graphic>
                          </wp:inline>
                        </w:drawing>
                      </w:r>
                    </w:p>
                    <w:p w:rsidR="005344F0" w:rsidRDefault="005344F0" w:rsidP="00925DB1">
                      <w:pPr>
                        <w:spacing w:after="0"/>
                        <w:suppressOverlap/>
                        <w:jc w:val="center"/>
                      </w:pPr>
                    </w:p>
                  </w:txbxContent>
                </v:textbox>
              </v:shape>
            </w:pict>
          </mc:Fallback>
        </mc:AlternateContent>
      </w:r>
    </w:p>
    <w:p w:rsidR="00E91573" w:rsidRDefault="00E91573" w:rsidP="00925DB1">
      <w:pPr>
        <w:spacing w:after="0" w:line="360" w:lineRule="auto"/>
        <w:ind w:firstLine="567"/>
        <w:jc w:val="both"/>
        <w:rPr>
          <w:rFonts w:ascii="Times New Roman" w:hAnsi="Times New Roman" w:cs="Times New Roman"/>
        </w:rPr>
      </w:pPr>
    </w:p>
    <w:p w:rsidR="00E91573" w:rsidRDefault="00E91573" w:rsidP="00925DB1">
      <w:pPr>
        <w:spacing w:after="0" w:line="360" w:lineRule="auto"/>
        <w:ind w:firstLine="567"/>
        <w:jc w:val="both"/>
        <w:rPr>
          <w:rFonts w:ascii="Times New Roman" w:hAnsi="Times New Roman" w:cs="Times New Roman"/>
        </w:rPr>
      </w:pPr>
    </w:p>
    <w:p w:rsidR="00E91573" w:rsidRPr="00925DB1" w:rsidRDefault="00E91573" w:rsidP="00925DB1">
      <w:pPr>
        <w:spacing w:after="0" w:line="360" w:lineRule="auto"/>
        <w:ind w:firstLine="567"/>
        <w:jc w:val="both"/>
        <w:rPr>
          <w:rFonts w:ascii="Times New Roman" w:hAnsi="Times New Roman" w:cs="Times New Roman"/>
        </w:rPr>
      </w:pPr>
    </w:p>
    <w:p w:rsidR="00925DB1" w:rsidRPr="00925DB1" w:rsidRDefault="00925DB1" w:rsidP="00925DB1">
      <w:pPr>
        <w:spacing w:after="0" w:line="360" w:lineRule="auto"/>
        <w:ind w:firstLine="567"/>
        <w:jc w:val="both"/>
        <w:rPr>
          <w:rFonts w:ascii="Times New Roman" w:hAnsi="Times New Roman" w:cs="Times New Roman"/>
        </w:rPr>
      </w:pPr>
    </w:p>
    <w:p w:rsidR="00925DB1" w:rsidRPr="00925DB1" w:rsidRDefault="00925DB1" w:rsidP="00925DB1">
      <w:pPr>
        <w:spacing w:after="0" w:line="360" w:lineRule="auto"/>
        <w:ind w:firstLine="567"/>
        <w:jc w:val="both"/>
        <w:rPr>
          <w:rFonts w:ascii="Times New Roman" w:hAnsi="Times New Roman" w:cs="Times New Roman"/>
        </w:rPr>
      </w:pPr>
    </w:p>
    <w:p w:rsidR="00925DB1" w:rsidRDefault="00925DB1" w:rsidP="00925DB1">
      <w:pPr>
        <w:spacing w:after="0" w:line="360" w:lineRule="auto"/>
        <w:ind w:firstLine="567"/>
        <w:jc w:val="both"/>
        <w:rPr>
          <w:rFonts w:ascii="Times New Roman" w:hAnsi="Times New Roman" w:cs="Times New Roman"/>
        </w:rPr>
      </w:pPr>
    </w:p>
    <w:p w:rsidR="004C7EA5" w:rsidRDefault="004C7EA5" w:rsidP="00925DB1">
      <w:pPr>
        <w:spacing w:after="0" w:line="360" w:lineRule="auto"/>
        <w:ind w:firstLine="567"/>
        <w:jc w:val="both"/>
        <w:rPr>
          <w:rFonts w:ascii="Times New Roman" w:hAnsi="Times New Roman" w:cs="Times New Roman"/>
        </w:rPr>
      </w:pPr>
    </w:p>
    <w:p w:rsidR="004C7EA5" w:rsidRDefault="004C7EA5" w:rsidP="00925DB1">
      <w:pPr>
        <w:spacing w:after="0" w:line="360" w:lineRule="auto"/>
        <w:ind w:firstLine="567"/>
        <w:jc w:val="both"/>
        <w:rPr>
          <w:rFonts w:ascii="Times New Roman" w:hAnsi="Times New Roman" w:cs="Times New Roman"/>
        </w:rPr>
      </w:pPr>
    </w:p>
    <w:p w:rsidR="004C7EA5" w:rsidRPr="00925DB1" w:rsidRDefault="004C7EA5" w:rsidP="00925DB1">
      <w:pPr>
        <w:spacing w:after="0" w:line="360" w:lineRule="auto"/>
        <w:ind w:firstLine="567"/>
        <w:jc w:val="both"/>
        <w:rPr>
          <w:rFonts w:ascii="Times New Roman" w:hAnsi="Times New Roman" w:cs="Times New Roman"/>
        </w:rPr>
      </w:pPr>
    </w:p>
    <w:p w:rsidR="00925DB1" w:rsidRPr="00925DB1" w:rsidRDefault="00E91573" w:rsidP="003A41CC">
      <w:pPr>
        <w:spacing w:line="360" w:lineRule="auto"/>
        <w:ind w:firstLine="567"/>
        <w:jc w:val="center"/>
        <w:rPr>
          <w:rFonts w:ascii="Times New Roman" w:hAnsi="Times New Roman" w:cs="Times New Roman"/>
        </w:rPr>
      </w:pPr>
      <w:r w:rsidRPr="00E91573">
        <w:rPr>
          <w:rFonts w:ascii="Times New Roman" w:hAnsi="Times New Roman" w:cs="Times New Roman"/>
          <w:b/>
        </w:rPr>
        <w:t>Figure 1.</w:t>
      </w:r>
      <w:r w:rsidRPr="00E91573">
        <w:rPr>
          <w:rFonts w:ascii="Times New Roman" w:hAnsi="Times New Roman" w:cs="Times New Roman"/>
        </w:rPr>
        <w:t xml:space="preserve"> Comparing model to illustrate PTs’ analysis of students’ work</w:t>
      </w:r>
      <w:r w:rsidR="00B44C71">
        <w:rPr>
          <w:rFonts w:ascii="Times New Roman" w:hAnsi="Times New Roman" w:cs="Times New Roman"/>
        </w:rPr>
        <w:t xml:space="preserve"> </w:t>
      </w:r>
      <w:r w:rsidR="00B44C71">
        <w:rPr>
          <w:rFonts w:ascii="Times New Roman" w:hAnsi="Times New Roman" w:cs="Times New Roman"/>
        </w:rPr>
        <w:fldChar w:fldCharType="begin" w:fldLock="1"/>
      </w:r>
      <w:r w:rsidR="007A7B95">
        <w:rPr>
          <w:rFonts w:ascii="Times New Roman" w:hAnsi="Times New Roman" w:cs="Times New Roman"/>
        </w:rPr>
        <w:instrText>ADDIN CSL_CITATION { "citationItems" : [ { "id" : "ITEM-1", "itemData" : { "DOI" : "10.5951/jresematheduc.42.1.0039", "ISBN" : "0021-8251", "ISSN" : "00218251", "abstract" : "This study investigated the processes used by prospective mathematics teachers as they examined middle-school students\u2019 work solving statistical problems using a computer software program. Students\u2019 work on the tasks was captured in a videocase used by prospective teachers enrolled in a mathematics education course focused on teaching secondary mathematics with technology. The researchers developed a model for characterizing prospective teachers\u2019 attention to students\u2019 work and actions and interpretations of students\u2019 mathematical thinking. The model facilitated the identi- fication of four categories: describing, comparing, inferring, and restructuring. Ways in which the model may be used by other researchers and implications for the design of pedagogical tasks for prospective teachers are discussed.", "author" : [ { "dropping-particle" : "", "family" : "Wilson", "given" : "P. Holt", "non-dropping-particle" : "", "parse-names" : false, "suffix" : "" }, { "dropping-particle" : "", "family" : "Lee", "given" : "Hollylynne Stohl", "non-dropping-particle" : "", "parse-names" : false, "suffix" : "" }, { "dropping-particle" : "", "family" : "Hollebrands", "given" : "Karen F.", "non-dropping-particle" : "", "parse-names" : false, "suffix" : "" } ], "container-title" : "Journal for Research in Mathematics Education", "id" : "ITEM-1", "issue" : "1", "issued" : { "date-parts" : [ [ "2011" ] ] }, "page" : "39-64", "title" : "Understanding prospective mathematics teachers' processes for making sense of students' work with technology", "type" : "article-journal", "volume" : "42" }, "uris" : [ "http://www.mendeley.com/documents/?uuid=862337c7-8621-41a3-8676-47903b40430e" ] } ], "mendeley" : { "formattedCitation" : "(P. H. Wilson et al., 2011)", "manualFormatting" : "(Wilson et al., 2011)", "plainTextFormattedCitation" : "(P. H. Wilson et al., 2011)", "previouslyFormattedCitation" : "(P. H. Wilson et al., 2011)" }, "properties" : {  }, "schema" : "https://github.com/citation-style-language/schema/raw/master/csl-citation.json" }</w:instrText>
      </w:r>
      <w:r w:rsidR="00B44C71">
        <w:rPr>
          <w:rFonts w:ascii="Times New Roman" w:hAnsi="Times New Roman" w:cs="Times New Roman"/>
        </w:rPr>
        <w:fldChar w:fldCharType="separate"/>
      </w:r>
      <w:r w:rsidR="00B44C71">
        <w:rPr>
          <w:rFonts w:ascii="Times New Roman" w:hAnsi="Times New Roman" w:cs="Times New Roman"/>
          <w:noProof/>
        </w:rPr>
        <w:t>(</w:t>
      </w:r>
      <w:r w:rsidR="00B44C71" w:rsidRPr="00B44C71">
        <w:rPr>
          <w:rFonts w:ascii="Times New Roman" w:hAnsi="Times New Roman" w:cs="Times New Roman"/>
          <w:noProof/>
        </w:rPr>
        <w:t>Wilson et al., 2011)</w:t>
      </w:r>
      <w:r w:rsidR="00B44C71">
        <w:rPr>
          <w:rFonts w:ascii="Times New Roman" w:hAnsi="Times New Roman" w:cs="Times New Roman"/>
        </w:rPr>
        <w:fldChar w:fldCharType="end"/>
      </w:r>
    </w:p>
    <w:p w:rsidR="00925DB1" w:rsidRPr="00925DB1" w:rsidRDefault="00925DB1" w:rsidP="001B6F3A">
      <w:pPr>
        <w:spacing w:after="0" w:line="360" w:lineRule="auto"/>
        <w:jc w:val="both"/>
        <w:rPr>
          <w:rFonts w:ascii="Times New Roman" w:hAnsi="Times New Roman" w:cs="Times New Roman"/>
        </w:rPr>
      </w:pPr>
      <w:r w:rsidRPr="00925DB1">
        <w:rPr>
          <w:rFonts w:ascii="Times New Roman" w:hAnsi="Times New Roman" w:cs="Times New Roman"/>
        </w:rPr>
        <w:t xml:space="preserve">There are </w:t>
      </w:r>
      <w:r w:rsidR="001B6F3A">
        <w:rPr>
          <w:rFonts w:ascii="Times New Roman" w:hAnsi="Times New Roman" w:cs="Times New Roman"/>
        </w:rPr>
        <w:t>two</w:t>
      </w:r>
      <w:r w:rsidRPr="00925DB1">
        <w:rPr>
          <w:rFonts w:ascii="Times New Roman" w:hAnsi="Times New Roman" w:cs="Times New Roman"/>
        </w:rPr>
        <w:t xml:space="preserve"> types of PTs’s focus ofattention, those are explicit and implicit attention. The explicitly attention is what PTs attend to the student’s written work or what students might think based on student work. Otherwise, implisit attention is inferred based on the PST’s work. To modeling how PTs analyze students’ work, we </w:t>
      </w:r>
      <w:r w:rsidR="004C7EA5">
        <w:rPr>
          <w:rFonts w:ascii="Times New Roman" w:hAnsi="Times New Roman" w:cs="Times New Roman"/>
        </w:rPr>
        <w:t xml:space="preserve">follow </w:t>
      </w:r>
      <w:r w:rsidR="004C7EA5">
        <w:rPr>
          <w:rFonts w:ascii="Times New Roman" w:hAnsi="Times New Roman" w:cs="Times New Roman"/>
        </w:rPr>
        <w:fldChar w:fldCharType="begin" w:fldLock="1"/>
      </w:r>
      <w:r w:rsidR="007A7B95">
        <w:rPr>
          <w:rFonts w:ascii="Times New Roman" w:hAnsi="Times New Roman" w:cs="Times New Roman"/>
        </w:rPr>
        <w:instrText>ADDIN CSL_CITATION { "citationItems" : [ { "id" : "ITEM-1", "itemData" : { "DOI" : "10.5951/jresematheduc.42.1.0039", "ISBN" : "0021-8251", "ISSN" : "00218251", "abstract" : "This study investigated the processes used by prospective mathematics teachers as they examined middle-school students\u2019 work solving statistical problems using a computer software program. Students\u2019 work on the tasks was captured in a videocase used by prospective teachers enrolled in a mathematics education course focused on teaching secondary mathematics with technology. The researchers developed a model for characterizing prospective teachers\u2019 attention to students\u2019 work and actions and interpretations of students\u2019 mathematical thinking. The model facilitated the identi- fication of four categories: describing, comparing, inferring, and restructuring. Ways in which the model may be used by other researchers and implications for the design of pedagogical tasks for prospective teachers are discussed.", "author" : [ { "dropping-particle" : "", "family" : "Wilson", "given" : "P. Holt", "non-dropping-particle" : "", "parse-names" : false, "suffix" : "" }, { "dropping-particle" : "", "family" : "Lee", "given" : "Hollylynne Stohl", "non-dropping-particle" : "", "parse-names" : false, "suffix" : "" }, { "dropping-particle" : "", "family" : "Hollebrands", "given" : "Karen F.", "non-dropping-particle" : "", "parse-names" : false, "suffix" : "" } ], "container-title" : "Journal for Research in Mathematics Education", "id" : "ITEM-1", "issue" : "1", "issued" : { "date-parts" : [ [ "2011" ] ] }, "page" : "39-64", "title" : "Understanding prospective mathematics teachers' processes for making sense of students' work with technology", "type" : "article-journal", "volume" : "42" }, "uris" : [ "http://www.mendeley.com/documents/?uuid=862337c7-8621-41a3-8676-47903b40430e" ] } ], "mendeley" : { "formattedCitation" : "(P. H. Wilson et al., 2011)", "manualFormatting" : "Wilson et al. (2011)", "plainTextFormattedCitation" : "(P. H. Wilson et al., 2011)", "previouslyFormattedCitation" : "(P. H. Wilson et al., 2011)" }, "properties" : {  }, "schema" : "https://github.com/citation-style-language/schema/raw/master/csl-citation.json" }</w:instrText>
      </w:r>
      <w:r w:rsidR="004C7EA5">
        <w:rPr>
          <w:rFonts w:ascii="Times New Roman" w:hAnsi="Times New Roman" w:cs="Times New Roman"/>
        </w:rPr>
        <w:fldChar w:fldCharType="separate"/>
      </w:r>
      <w:r w:rsidR="004C7EA5">
        <w:rPr>
          <w:rFonts w:ascii="Times New Roman" w:hAnsi="Times New Roman" w:cs="Times New Roman"/>
          <w:noProof/>
        </w:rPr>
        <w:t>Wilson et al. (</w:t>
      </w:r>
      <w:r w:rsidR="004C7EA5" w:rsidRPr="004C7EA5">
        <w:rPr>
          <w:rFonts w:ascii="Times New Roman" w:hAnsi="Times New Roman" w:cs="Times New Roman"/>
          <w:noProof/>
        </w:rPr>
        <w:t>2011)</w:t>
      </w:r>
      <w:r w:rsidR="004C7EA5">
        <w:rPr>
          <w:rFonts w:ascii="Times New Roman" w:hAnsi="Times New Roman" w:cs="Times New Roman"/>
        </w:rPr>
        <w:fldChar w:fldCharType="end"/>
      </w:r>
      <w:r w:rsidR="004C7EA5">
        <w:rPr>
          <w:rFonts w:ascii="Times New Roman" w:hAnsi="Times New Roman" w:cs="Times New Roman"/>
        </w:rPr>
        <w:t xml:space="preserve"> in </w:t>
      </w:r>
      <w:r w:rsidRPr="00925DB1">
        <w:rPr>
          <w:rFonts w:ascii="Times New Roman" w:hAnsi="Times New Roman" w:cs="Times New Roman"/>
        </w:rPr>
        <w:t>read the diagram from the upper-left corner and following the arrows indicating their focus of attention.</w:t>
      </w:r>
    </w:p>
    <w:p w:rsidR="00FF5ABA" w:rsidRDefault="00925DB1" w:rsidP="00FF5ABA">
      <w:pPr>
        <w:pStyle w:val="Body"/>
        <w:ind w:firstLine="567"/>
        <w:rPr>
          <w:sz w:val="22"/>
          <w:szCs w:val="22"/>
        </w:rPr>
      </w:pPr>
      <w:r w:rsidRPr="003A41CC">
        <w:rPr>
          <w:sz w:val="22"/>
          <w:szCs w:val="22"/>
        </w:rPr>
        <w:t xml:space="preserve">Considering the importance of developing prospective teachers’ skills in interpreting students’ mathematical thinking, the present study intend to examine how prospective teachers use the comparing model in interpreting students' mathematical thinking. </w:t>
      </w:r>
    </w:p>
    <w:p w:rsidR="00622955" w:rsidRPr="00FF5ABA" w:rsidRDefault="00925DB1" w:rsidP="00FF5ABA">
      <w:pPr>
        <w:pStyle w:val="Body"/>
        <w:ind w:firstLine="567"/>
        <w:rPr>
          <w:sz w:val="22"/>
          <w:szCs w:val="22"/>
        </w:rPr>
      </w:pPr>
      <w:r w:rsidRPr="00FF5ABA">
        <w:rPr>
          <w:sz w:val="22"/>
          <w:szCs w:val="22"/>
        </w:rPr>
        <w:lastRenderedPageBreak/>
        <w:t>These findings trigger the importance to study prospective teachers’ skills in interpreting students’ mathematical thinking.  Consideration of what type of reasoning is involved when prospective teachers are asked to analyze student work. This study tends to describe comparing model as building process model prospec</w:t>
      </w:r>
      <w:r w:rsidR="001B6F3A" w:rsidRPr="00FF5ABA">
        <w:rPr>
          <w:sz w:val="22"/>
          <w:szCs w:val="22"/>
        </w:rPr>
        <w:t>t</w:t>
      </w:r>
      <w:r w:rsidRPr="00FF5ABA">
        <w:rPr>
          <w:sz w:val="22"/>
          <w:szCs w:val="22"/>
        </w:rPr>
        <w:t>ive te</w:t>
      </w:r>
      <w:r w:rsidR="001B6F3A" w:rsidRPr="00FF5ABA">
        <w:rPr>
          <w:sz w:val="22"/>
          <w:szCs w:val="22"/>
        </w:rPr>
        <w:t>a</w:t>
      </w:r>
      <w:r w:rsidRPr="00FF5ABA">
        <w:rPr>
          <w:sz w:val="22"/>
          <w:szCs w:val="22"/>
        </w:rPr>
        <w:t>chers used in interpreting student’s mathematical thinking. Comparing model is one of process that PTs used to construct models of students’ thinking</w:t>
      </w:r>
      <w:r w:rsidR="001B6F3A" w:rsidRPr="00FF5ABA">
        <w:rPr>
          <w:sz w:val="22"/>
          <w:szCs w:val="22"/>
        </w:rPr>
        <w:t xml:space="preserve"> </w:t>
      </w:r>
      <w:r w:rsidRPr="00FF5ABA">
        <w:rPr>
          <w:sz w:val="22"/>
          <w:szCs w:val="22"/>
        </w:rPr>
        <w:fldChar w:fldCharType="begin" w:fldLock="1"/>
      </w:r>
      <w:r w:rsidR="007A7B95" w:rsidRPr="00FF5ABA">
        <w:rPr>
          <w:sz w:val="22"/>
          <w:szCs w:val="22"/>
        </w:rPr>
        <w:instrText>ADDIN CSL_CITATION { "citationItems" : [ { "id" : "ITEM-1", "itemData" : { "DOI" : "10.5951/jresematheduc.42.1.0039", "ISBN" : "0021-8251", "ISSN" : "00218251", "abstract" : "This study investigated the processes used by prospective mathematics teachers as they examined middle-school students\u2019 work solving statistical problems using a computer software program. Students\u2019 work on the tasks was captured in a videocase used by prospective teachers enrolled in a mathematics education course focused on teaching secondary mathematics with technology. The researchers developed a model for characterizing prospective teachers\u2019 attention to students\u2019 work and actions and interpretations of students\u2019 mathematical thinking. The model facilitated the identi- fication of four categories: describing, comparing, inferring, and restructuring. Ways in which the model may be used by other researchers and implications for the design of pedagogical tasks for prospective teachers are discussed.", "author" : [ { "dropping-particle" : "", "family" : "Wilson", "given" : "P. Holt", "non-dropping-particle" : "", "parse-names" : false, "suffix" : "" }, { "dropping-particle" : "", "family" : "Lee", "given" : "Hollylynne Stohl", "non-dropping-particle" : "", "parse-names" : false, "suffix" : "" }, { "dropping-particle" : "", "family" : "Hollebrands", "given" : "Karen F.", "non-dropping-particle" : "", "parse-names" : false, "suffix" : "" } ], "container-title" : "Journal for Research in Mathematics Education", "id" : "ITEM-1", "issue" : "1", "issued" : { "date-parts" : [ [ "2011" ] ] }, "page" : "39-64", "title" : "Understanding prospective mathematics teachers' processes for making sense of students' work with technology", "type" : "article-journal", "volume" : "42" }, "uris" : [ "http://www.mendeley.com/documents/?uuid=862337c7-8621-41a3-8676-47903b40430e" ] } ], "mendeley" : { "formattedCitation" : "(P. H. Wilson et al., 2011)", "manualFormatting" : "(Wilson et al., 2011)", "plainTextFormattedCitation" : "(P. H. Wilson et al., 2011)", "previouslyFormattedCitation" : "(P. H. Wilson et al., 2011)" }, "properties" : {  }, "schema" : "https://github.com/citation-style-language/schema/raw/master/csl-citation.json" }</w:instrText>
      </w:r>
      <w:r w:rsidRPr="00FF5ABA">
        <w:rPr>
          <w:sz w:val="22"/>
          <w:szCs w:val="22"/>
        </w:rPr>
        <w:fldChar w:fldCharType="separate"/>
      </w:r>
      <w:r w:rsidRPr="00FF5ABA">
        <w:rPr>
          <w:noProof/>
          <w:sz w:val="22"/>
          <w:szCs w:val="22"/>
        </w:rPr>
        <w:t>(Wilson et al., 2011)</w:t>
      </w:r>
      <w:r w:rsidRPr="00FF5ABA">
        <w:rPr>
          <w:sz w:val="22"/>
          <w:szCs w:val="22"/>
        </w:rPr>
        <w:fldChar w:fldCharType="end"/>
      </w:r>
      <w:r w:rsidRPr="00FF5ABA">
        <w:rPr>
          <w:sz w:val="22"/>
          <w:szCs w:val="22"/>
        </w:rPr>
        <w:t>. In comparing model, PTs compared students’ activity with their own activity, either implicitly or explicitly. The model-building processes in this category include how the PT searched for similarities and differences between theirs and those that the PTs noticed in the students’ work. Comparing between students’ observable action and PTs observable action can lead us to two different characteristic of interpretation. First, comparing work is a characteristic when PTs compare students’s action about the task with their own action. Their own action is their written work about the same task that student’s done. Second, comparing knowledge is characteristic when PTs compare students’ action with his/her knowledge or teori about given problem. This situation is represented in Figure 2</w:t>
      </w:r>
      <w:r w:rsidR="00622955" w:rsidRPr="00FF5ABA">
        <w:rPr>
          <w:sz w:val="22"/>
          <w:szCs w:val="22"/>
        </w:rPr>
        <w:t xml:space="preserve"> below.</w:t>
      </w:r>
    </w:p>
    <w:p w:rsidR="00925DB1" w:rsidRPr="00925DB1" w:rsidRDefault="00925DB1" w:rsidP="00925DB1">
      <w:pPr>
        <w:spacing w:after="0" w:line="360" w:lineRule="auto"/>
        <w:ind w:firstLine="567"/>
        <w:jc w:val="both"/>
        <w:rPr>
          <w:rFonts w:ascii="Times New Roman" w:hAnsi="Times New Roman" w:cs="Times New Roman"/>
        </w:rPr>
      </w:pPr>
      <w:r w:rsidRPr="00925DB1">
        <w:rPr>
          <w:rFonts w:ascii="Times New Roman" w:hAnsi="Times New Roman" w:cs="Times New Roman"/>
        </w:rPr>
        <w:t>.</w:t>
      </w:r>
    </w:p>
    <w:p w:rsidR="00925DB1" w:rsidRPr="00925DB1" w:rsidRDefault="00925DB1" w:rsidP="00622955">
      <w:pPr>
        <w:spacing w:after="0" w:line="360" w:lineRule="auto"/>
        <w:jc w:val="center"/>
        <w:rPr>
          <w:rFonts w:ascii="Times New Roman" w:hAnsi="Times New Roman" w:cs="Times New Roman"/>
        </w:rPr>
      </w:pPr>
      <w:r w:rsidRPr="00925DB1">
        <w:rPr>
          <w:rFonts w:ascii="Times New Roman" w:hAnsi="Times New Roman" w:cs="Times New Roman"/>
        </w:rPr>
        <w:object w:dxaOrig="5460" w:dyaOrig="2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100.2pt" o:ole="">
            <v:imagedata r:id="rId11" o:title=""/>
          </v:shape>
          <o:OLEObject Type="Embed" ProgID="PBrush" ShapeID="_x0000_i1025" DrawAspect="Content" ObjectID="_1612716992" r:id="rId12"/>
        </w:object>
      </w:r>
    </w:p>
    <w:p w:rsidR="00925DB1" w:rsidRPr="00925DB1" w:rsidRDefault="00925DB1" w:rsidP="00622955">
      <w:pPr>
        <w:spacing w:after="0" w:line="360" w:lineRule="auto"/>
        <w:ind w:firstLine="567"/>
        <w:jc w:val="center"/>
        <w:rPr>
          <w:rFonts w:ascii="Times New Roman" w:hAnsi="Times New Roman" w:cs="Times New Roman"/>
        </w:rPr>
      </w:pPr>
      <w:r w:rsidRPr="00622955">
        <w:rPr>
          <w:rFonts w:ascii="Times New Roman" w:hAnsi="Times New Roman" w:cs="Times New Roman"/>
          <w:b/>
        </w:rPr>
        <w:t>Figure 2.</w:t>
      </w:r>
      <w:r w:rsidRPr="00925DB1">
        <w:rPr>
          <w:rFonts w:ascii="Times New Roman" w:hAnsi="Times New Roman" w:cs="Times New Roman"/>
        </w:rPr>
        <w:t xml:space="preserve">  Type of Comparing</w:t>
      </w:r>
    </w:p>
    <w:p w:rsidR="00EB4D55" w:rsidRDefault="00EB4D55" w:rsidP="00CB5A7C">
      <w:pPr>
        <w:spacing w:after="0" w:line="360" w:lineRule="auto"/>
        <w:jc w:val="both"/>
        <w:rPr>
          <w:rFonts w:ascii="Times New Roman" w:hAnsi="Times New Roman" w:cs="Times New Roman"/>
          <w:b/>
        </w:rPr>
      </w:pPr>
    </w:p>
    <w:p w:rsidR="00E16094" w:rsidRPr="00925DB1" w:rsidRDefault="00925DB1" w:rsidP="00CB5A7C">
      <w:pPr>
        <w:spacing w:after="0" w:line="360" w:lineRule="auto"/>
        <w:jc w:val="both"/>
        <w:rPr>
          <w:rFonts w:ascii="Times New Roman" w:hAnsi="Times New Roman" w:cs="Times New Roman"/>
          <w:b/>
        </w:rPr>
      </w:pPr>
      <w:r>
        <w:rPr>
          <w:rFonts w:ascii="Times New Roman" w:hAnsi="Times New Roman" w:cs="Times New Roman"/>
          <w:b/>
        </w:rPr>
        <w:t>METHOD</w:t>
      </w:r>
    </w:p>
    <w:p w:rsidR="00925DB1" w:rsidRPr="00FF5ABA" w:rsidRDefault="00925DB1" w:rsidP="00925DB1">
      <w:pPr>
        <w:pStyle w:val="Body"/>
        <w:rPr>
          <w:sz w:val="22"/>
          <w:szCs w:val="22"/>
          <w:lang w:val="en-US"/>
        </w:rPr>
      </w:pPr>
      <w:r w:rsidRPr="00FF5ABA">
        <w:rPr>
          <w:sz w:val="22"/>
          <w:szCs w:val="22"/>
          <w:lang w:val="en-US"/>
        </w:rPr>
        <w:t>This qualitative study was conducted on third year graduate students of Mathematics Education Programs in one of private university in Purworejo</w:t>
      </w:r>
      <w:r w:rsidR="00E07854" w:rsidRPr="00FF5ABA">
        <w:rPr>
          <w:sz w:val="22"/>
          <w:szCs w:val="22"/>
          <w:lang w:val="en-US"/>
        </w:rPr>
        <w:t>, Indonesia</w:t>
      </w:r>
      <w:r w:rsidRPr="00FF5ABA">
        <w:rPr>
          <w:sz w:val="22"/>
          <w:szCs w:val="22"/>
          <w:lang w:val="en-US"/>
        </w:rPr>
        <w:t>. Purworejo is surrounded by favorite public and private colleges in Central Java, Indonesia.</w:t>
      </w:r>
      <w:r w:rsidR="00D31253" w:rsidRPr="00FF5ABA">
        <w:rPr>
          <w:sz w:val="22"/>
          <w:szCs w:val="22"/>
          <w:lang w:val="en-US"/>
        </w:rPr>
        <w:t xml:space="preserve"> </w:t>
      </w:r>
    </w:p>
    <w:p w:rsidR="00925DB1" w:rsidRPr="00925DB1" w:rsidRDefault="00925DB1" w:rsidP="00925DB1">
      <w:pPr>
        <w:pStyle w:val="Heading2"/>
      </w:pPr>
      <w:r>
        <w:t>Participant</w:t>
      </w:r>
    </w:p>
    <w:p w:rsidR="00EB4D55" w:rsidRPr="00925DB1" w:rsidRDefault="00925DB1" w:rsidP="00EB4D55">
      <w:pPr>
        <w:pStyle w:val="Body"/>
        <w:rPr>
          <w:sz w:val="22"/>
          <w:szCs w:val="22"/>
        </w:rPr>
      </w:pPr>
      <w:r w:rsidRPr="00925DB1">
        <w:rPr>
          <w:sz w:val="22"/>
          <w:szCs w:val="22"/>
        </w:rPr>
        <w:t>The participants of this study were 23 prospective teachers (PTs) consisting of 18 female and 7 male graduate students. Participants were asked to follow the strategies of students in completing the the Building Construction Problem (BCP) as shown in the example of student work. There are four fundamental behaviour in attending to student’s strategies i.e. making right written solution, making false written solution, not making solution, not making solution but understand the solution. This study selected purposively participant who make right written solution and participant who didn’t make written solution but understand the solution and could attend to at least 2 of 4 examples of students’ strategies in solving BCP.</w:t>
      </w:r>
    </w:p>
    <w:p w:rsidR="00925DB1" w:rsidRPr="00925DB1" w:rsidRDefault="00925DB1" w:rsidP="00925DB1">
      <w:pPr>
        <w:pStyle w:val="Heading2"/>
      </w:pPr>
      <w:r>
        <w:lastRenderedPageBreak/>
        <w:t>Data Collection</w:t>
      </w:r>
    </w:p>
    <w:p w:rsidR="00925DB1" w:rsidRPr="00925DB1" w:rsidRDefault="00925DB1" w:rsidP="00925DB1">
      <w:pPr>
        <w:pStyle w:val="Body"/>
        <w:rPr>
          <w:sz w:val="22"/>
          <w:szCs w:val="22"/>
        </w:rPr>
      </w:pPr>
      <w:r w:rsidRPr="00925DB1">
        <w:rPr>
          <w:sz w:val="22"/>
          <w:szCs w:val="22"/>
        </w:rPr>
        <w:t>We assigned PTs to complete Task of Interpretation of Students' Mathematical Thinking (ToIoSMT). The ToIoSMT provide Building Construction Problem(BCP) and 4 different examples of students' written work about BCP. The following  is a BCP that students have done and examples of students' written work.</w:t>
      </w:r>
    </w:p>
    <w:p w:rsidR="00925DB1" w:rsidRPr="00925DB1" w:rsidRDefault="00925DB1" w:rsidP="00925DB1">
      <w:pPr>
        <w:pStyle w:val="Body"/>
        <w:ind w:firstLine="0"/>
        <w:rPr>
          <w:sz w:val="22"/>
          <w:szCs w:val="22"/>
        </w:rPr>
      </w:pPr>
      <w:r w:rsidRPr="00925DB1">
        <w:rPr>
          <w:sz w:val="22"/>
          <w:szCs w:val="22"/>
        </w:rPr>
        <w:t>Building Construction Problem:</w:t>
      </w:r>
    </w:p>
    <w:p w:rsidR="00925DB1" w:rsidRDefault="00925DB1" w:rsidP="007D6C37">
      <w:pPr>
        <w:pStyle w:val="Body"/>
        <w:spacing w:line="240" w:lineRule="auto"/>
        <w:ind w:left="426" w:firstLine="0"/>
        <w:rPr>
          <w:sz w:val="22"/>
          <w:szCs w:val="22"/>
        </w:rPr>
      </w:pPr>
      <w:r w:rsidRPr="00925DB1">
        <w:rPr>
          <w:sz w:val="22"/>
          <w:szCs w:val="22"/>
        </w:rPr>
        <w:t>In order to construct a building, the contractor takes 15 months with 120 workers. For a reason, the contractor wants a 3 month accelerated job. If the ability to work for each worker is the same and that the project can be completed on time, how many workers should be add.</w:t>
      </w:r>
    </w:p>
    <w:p w:rsidR="00925DB1" w:rsidRPr="00925DB1" w:rsidRDefault="00925DB1" w:rsidP="00FF5ABA">
      <w:pPr>
        <w:pStyle w:val="Body"/>
        <w:spacing w:before="240"/>
        <w:ind w:firstLine="0"/>
        <w:rPr>
          <w:sz w:val="22"/>
          <w:szCs w:val="22"/>
        </w:rPr>
      </w:pPr>
      <w:r w:rsidRPr="00925DB1">
        <w:rPr>
          <w:sz w:val="22"/>
          <w:szCs w:val="22"/>
        </w:rPr>
        <w:t>The following are examples of students' written work in solving BCP.</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36"/>
      </w:tblGrid>
      <w:tr w:rsidR="00925DB1" w:rsidRPr="00925DB1" w:rsidTr="0051487C">
        <w:tc>
          <w:tcPr>
            <w:tcW w:w="4395" w:type="dxa"/>
          </w:tcPr>
          <w:p w:rsidR="00925DB1" w:rsidRPr="00925DB1" w:rsidRDefault="00925DB1" w:rsidP="00622955">
            <w:pPr>
              <w:pStyle w:val="Body"/>
              <w:jc w:val="center"/>
              <w:rPr>
                <w:sz w:val="22"/>
                <w:szCs w:val="22"/>
              </w:rPr>
            </w:pPr>
            <w:r w:rsidRPr="00925DB1">
              <w:rPr>
                <w:sz w:val="22"/>
                <w:szCs w:val="22"/>
              </w:rPr>
              <w:object w:dxaOrig="2892" w:dyaOrig="1704">
                <v:shape id="_x0000_i1026" type="#_x0000_t75" style="width:151.2pt;height:88.8pt" o:ole="">
                  <v:imagedata r:id="rId13" o:title=""/>
                </v:shape>
                <o:OLEObject Type="Embed" ProgID="PBrush" ShapeID="_x0000_i1026" DrawAspect="Content" ObjectID="_1612716993" r:id="rId14"/>
              </w:object>
            </w:r>
          </w:p>
          <w:p w:rsidR="00925DB1" w:rsidRPr="00925DB1" w:rsidRDefault="00925DB1" w:rsidP="00622955">
            <w:pPr>
              <w:pStyle w:val="Body"/>
              <w:jc w:val="center"/>
              <w:rPr>
                <w:sz w:val="22"/>
                <w:szCs w:val="22"/>
              </w:rPr>
            </w:pPr>
            <w:r w:rsidRPr="00925DB1">
              <w:rPr>
                <w:sz w:val="22"/>
                <w:szCs w:val="22"/>
              </w:rPr>
              <w:t>(a)</w:t>
            </w:r>
          </w:p>
          <w:p w:rsidR="00925DB1" w:rsidRPr="00925DB1" w:rsidRDefault="00925DB1" w:rsidP="00622955">
            <w:pPr>
              <w:pStyle w:val="Body"/>
              <w:jc w:val="center"/>
              <w:rPr>
                <w:sz w:val="22"/>
                <w:szCs w:val="22"/>
              </w:rPr>
            </w:pPr>
            <w:r w:rsidRPr="00925DB1">
              <w:rPr>
                <w:sz w:val="22"/>
                <w:szCs w:val="22"/>
              </w:rPr>
              <w:object w:dxaOrig="2808" w:dyaOrig="2052">
                <v:shape id="_x0000_i1027" type="#_x0000_t75" style="width:151.2pt;height:109.8pt" o:ole="">
                  <v:imagedata r:id="rId15" o:title="" blacklevel="1311f"/>
                </v:shape>
                <o:OLEObject Type="Embed" ProgID="PBrush" ShapeID="_x0000_i1027" DrawAspect="Content" ObjectID="_1612716994" r:id="rId16"/>
              </w:object>
            </w:r>
          </w:p>
          <w:p w:rsidR="00925DB1" w:rsidRPr="00925DB1" w:rsidRDefault="00925DB1" w:rsidP="00622955">
            <w:pPr>
              <w:pStyle w:val="Body"/>
              <w:jc w:val="center"/>
              <w:rPr>
                <w:sz w:val="22"/>
                <w:szCs w:val="22"/>
              </w:rPr>
            </w:pPr>
            <w:r w:rsidRPr="00925DB1">
              <w:rPr>
                <w:sz w:val="22"/>
                <w:szCs w:val="22"/>
              </w:rPr>
              <w:t>(c)</w:t>
            </w:r>
          </w:p>
        </w:tc>
        <w:tc>
          <w:tcPr>
            <w:tcW w:w="4536" w:type="dxa"/>
          </w:tcPr>
          <w:p w:rsidR="00925DB1" w:rsidRPr="00925DB1" w:rsidRDefault="00925DB1" w:rsidP="00622955">
            <w:pPr>
              <w:pStyle w:val="Body"/>
              <w:jc w:val="center"/>
              <w:rPr>
                <w:sz w:val="22"/>
                <w:szCs w:val="22"/>
              </w:rPr>
            </w:pPr>
            <w:r w:rsidRPr="00925DB1">
              <w:rPr>
                <w:sz w:val="22"/>
                <w:szCs w:val="22"/>
              </w:rPr>
              <w:object w:dxaOrig="2640" w:dyaOrig="1236">
                <v:shape id="_x0000_i1028" type="#_x0000_t75" style="width:189.6pt;height:88.2pt" o:ole="">
                  <v:imagedata r:id="rId17" o:title=""/>
                </v:shape>
                <o:OLEObject Type="Embed" ProgID="PBrush" ShapeID="_x0000_i1028" DrawAspect="Content" ObjectID="_1612716995" r:id="rId18"/>
              </w:object>
            </w:r>
          </w:p>
          <w:p w:rsidR="00925DB1" w:rsidRPr="00925DB1" w:rsidRDefault="00925DB1" w:rsidP="00622955">
            <w:pPr>
              <w:pStyle w:val="Body"/>
              <w:jc w:val="center"/>
              <w:rPr>
                <w:sz w:val="22"/>
                <w:szCs w:val="22"/>
              </w:rPr>
            </w:pPr>
            <w:r w:rsidRPr="00925DB1">
              <w:rPr>
                <w:sz w:val="22"/>
                <w:szCs w:val="22"/>
              </w:rPr>
              <w:t>(b)</w:t>
            </w:r>
          </w:p>
          <w:p w:rsidR="00925DB1" w:rsidRPr="00925DB1" w:rsidRDefault="00925DB1" w:rsidP="00622955">
            <w:pPr>
              <w:pStyle w:val="Body"/>
              <w:jc w:val="center"/>
              <w:rPr>
                <w:sz w:val="22"/>
                <w:szCs w:val="22"/>
              </w:rPr>
            </w:pPr>
            <w:r w:rsidRPr="00925DB1">
              <w:rPr>
                <w:noProof/>
                <w:sz w:val="22"/>
                <w:szCs w:val="22"/>
                <w:lang w:eastAsia="zh-CN"/>
              </w:rPr>
              <w:drawing>
                <wp:inline distT="0" distB="0" distL="0" distR="0" wp14:anchorId="05FC6C55" wp14:editId="3FD49ECB">
                  <wp:extent cx="2362846" cy="1436077"/>
                  <wp:effectExtent l="19050" t="0" r="0" b="0"/>
                  <wp:docPr id="12"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lum bright="-20000" contrast="20000"/>
                            <a:extLst>
                              <a:ext uri="{28A0092B-C50C-407E-A947-70E740481C1C}">
                                <a14:useLocalDpi xmlns:a14="http://schemas.microsoft.com/office/drawing/2010/main" val="0"/>
                              </a:ext>
                            </a:extLst>
                          </a:blip>
                          <a:srcRect/>
                          <a:stretch>
                            <a:fillRect/>
                          </a:stretch>
                        </pic:blipFill>
                        <pic:spPr bwMode="auto">
                          <a:xfrm>
                            <a:off x="0" y="0"/>
                            <a:ext cx="2371251" cy="1441185"/>
                          </a:xfrm>
                          <a:prstGeom prst="rect">
                            <a:avLst/>
                          </a:prstGeom>
                          <a:noFill/>
                          <a:ln>
                            <a:noFill/>
                          </a:ln>
                        </pic:spPr>
                      </pic:pic>
                    </a:graphicData>
                  </a:graphic>
                </wp:inline>
              </w:drawing>
            </w:r>
          </w:p>
          <w:p w:rsidR="00925DB1" w:rsidRPr="00925DB1" w:rsidRDefault="00925DB1" w:rsidP="00622955">
            <w:pPr>
              <w:pStyle w:val="Body"/>
              <w:jc w:val="center"/>
              <w:rPr>
                <w:sz w:val="22"/>
                <w:szCs w:val="22"/>
              </w:rPr>
            </w:pPr>
            <w:r w:rsidRPr="00925DB1">
              <w:rPr>
                <w:sz w:val="22"/>
                <w:szCs w:val="22"/>
              </w:rPr>
              <w:t>(d)</w:t>
            </w:r>
          </w:p>
        </w:tc>
      </w:tr>
      <w:tr w:rsidR="00925DB1" w:rsidRPr="00925DB1" w:rsidTr="0051487C">
        <w:tc>
          <w:tcPr>
            <w:tcW w:w="8931" w:type="dxa"/>
            <w:gridSpan w:val="2"/>
          </w:tcPr>
          <w:p w:rsidR="00925DB1" w:rsidRDefault="00925DB1" w:rsidP="007D6C37">
            <w:pPr>
              <w:pStyle w:val="Body"/>
              <w:spacing w:line="240" w:lineRule="auto"/>
              <w:jc w:val="center"/>
              <w:rPr>
                <w:sz w:val="22"/>
                <w:szCs w:val="22"/>
              </w:rPr>
            </w:pPr>
            <w:r w:rsidRPr="007D6C37">
              <w:rPr>
                <w:b/>
                <w:sz w:val="22"/>
                <w:szCs w:val="22"/>
              </w:rPr>
              <w:t xml:space="preserve">Figure 3. </w:t>
            </w:r>
            <w:r w:rsidRPr="00925DB1">
              <w:rPr>
                <w:sz w:val="22"/>
                <w:szCs w:val="22"/>
              </w:rPr>
              <w:t>The examples of (a) Student A, (b) Student B, (c) Student C, and (d) Student D  written work</w:t>
            </w:r>
            <w:r w:rsidR="003942DA">
              <w:rPr>
                <w:sz w:val="22"/>
                <w:szCs w:val="22"/>
              </w:rPr>
              <w:t>s</w:t>
            </w:r>
          </w:p>
          <w:p w:rsidR="007D6C37" w:rsidRPr="007D6C37" w:rsidRDefault="007D6C37" w:rsidP="007D6C37">
            <w:pPr>
              <w:pStyle w:val="Body"/>
              <w:spacing w:line="240" w:lineRule="auto"/>
              <w:jc w:val="center"/>
              <w:rPr>
                <w:sz w:val="22"/>
                <w:szCs w:val="22"/>
              </w:rPr>
            </w:pPr>
          </w:p>
        </w:tc>
      </w:tr>
    </w:tbl>
    <w:p w:rsidR="00925DB1" w:rsidRPr="00925DB1" w:rsidRDefault="00925DB1" w:rsidP="004C7EA5">
      <w:pPr>
        <w:pStyle w:val="Body"/>
        <w:ind w:firstLine="0"/>
        <w:rPr>
          <w:sz w:val="22"/>
          <w:szCs w:val="22"/>
        </w:rPr>
      </w:pPr>
      <w:r w:rsidRPr="00925DB1">
        <w:rPr>
          <w:sz w:val="22"/>
          <w:szCs w:val="22"/>
        </w:rPr>
        <w:t>The examples of students’ written work in solving BCP represent 4 characteristic. Student A completed BCP by writing down the method used that was inversed ratio</w:t>
      </w:r>
      <w:r w:rsidR="001B6F3A">
        <w:rPr>
          <w:sz w:val="22"/>
          <w:szCs w:val="22"/>
        </w:rPr>
        <w:t xml:space="preserve"> </w:t>
      </w:r>
      <w:r w:rsidRPr="00925DB1">
        <w:rPr>
          <w:sz w:val="22"/>
          <w:szCs w:val="22"/>
        </w:rPr>
        <w:t>as well as the linkage of information time and many workers. Student A did not write down the steps to get the number 150. He simply wrote that many of the added workers were 150 - 120 = 30 workers. Whereas, student D wrote in detail the calculation of inversed</w:t>
      </w:r>
      <w:r w:rsidR="00E07854">
        <w:rPr>
          <w:sz w:val="22"/>
          <w:szCs w:val="22"/>
        </w:rPr>
        <w:t xml:space="preserve"> </w:t>
      </w:r>
      <w:r w:rsidRPr="00925DB1">
        <w:rPr>
          <w:sz w:val="22"/>
          <w:szCs w:val="22"/>
        </w:rPr>
        <w:t>proportion. Students B and C both completed the BCP by using direct proportion. Student B divided 12 by 15 and multiplies the result by 120. He multiplied the time ratio by the number of workers.  While student C writes in detail the steps of BCP problem solving: known information, completion plans, direct ratio calculations, and conclusions.</w:t>
      </w:r>
    </w:p>
    <w:p w:rsidR="00925DB1" w:rsidRDefault="00925DB1" w:rsidP="00925DB1">
      <w:pPr>
        <w:pStyle w:val="Body"/>
        <w:rPr>
          <w:sz w:val="22"/>
          <w:szCs w:val="22"/>
        </w:rPr>
      </w:pPr>
      <w:r w:rsidRPr="00925DB1">
        <w:rPr>
          <w:sz w:val="22"/>
          <w:szCs w:val="22"/>
        </w:rPr>
        <w:t>In The ToIoSMT, PTs assigned to explain what they understand about students' mathematical thinking based on student work.PTs asked to think out loud when completing the task. Furthermore, an interview was conducted to corroborate the PTs’ think out loud and written work in interpreting the students' mathematical thinking. The</w:t>
      </w:r>
      <w:r w:rsidR="001B6F3A">
        <w:rPr>
          <w:sz w:val="22"/>
          <w:szCs w:val="22"/>
        </w:rPr>
        <w:t xml:space="preserve"> </w:t>
      </w:r>
      <w:r w:rsidRPr="00925DB1">
        <w:rPr>
          <w:sz w:val="22"/>
          <w:szCs w:val="22"/>
        </w:rPr>
        <w:t xml:space="preserve">artifact of PTs explanation of students’ mathematical thinking </w:t>
      </w:r>
      <w:r w:rsidRPr="00925DB1">
        <w:rPr>
          <w:sz w:val="22"/>
          <w:szCs w:val="22"/>
        </w:rPr>
        <w:lastRenderedPageBreak/>
        <w:t>named as PTs interpretation.</w:t>
      </w:r>
    </w:p>
    <w:p w:rsidR="00CE643D" w:rsidRPr="00925DB1" w:rsidRDefault="00CE643D" w:rsidP="00CE643D">
      <w:pPr>
        <w:pStyle w:val="Heading2"/>
      </w:pPr>
      <w:r>
        <w:t>Data Analysis</w:t>
      </w:r>
    </w:p>
    <w:p w:rsidR="00CE643D" w:rsidRPr="00CE643D" w:rsidRDefault="00CE643D" w:rsidP="00CE643D">
      <w:pPr>
        <w:pStyle w:val="Body"/>
        <w:rPr>
          <w:sz w:val="22"/>
          <w:szCs w:val="22"/>
        </w:rPr>
      </w:pPr>
      <w:r w:rsidRPr="00CE643D">
        <w:rPr>
          <w:sz w:val="22"/>
          <w:szCs w:val="22"/>
        </w:rPr>
        <w:t xml:space="preserve">Qualitative analysis used to generate the description of the </w:t>
      </w:r>
      <w:r w:rsidR="001B6F3A">
        <w:rPr>
          <w:sz w:val="22"/>
          <w:szCs w:val="22"/>
        </w:rPr>
        <w:t xml:space="preserve">building process, model </w:t>
      </w:r>
      <w:r w:rsidRPr="00CE643D">
        <w:rPr>
          <w:sz w:val="22"/>
          <w:szCs w:val="22"/>
        </w:rPr>
        <w:t>of PTs interpretation of students' mathematical thinking based on their written work and think aloud. We conducted data analysis following three stages of qualitative data analysis activities from Miles &amp; Huberman (1999) and 6 stages of analysis and interpretation of qualitative data from Creswell (2012).This study used triangulation methods by examining the data with different methods: task; think out loud, and interview.</w:t>
      </w:r>
      <w:r w:rsidR="001B6F3A">
        <w:rPr>
          <w:sz w:val="22"/>
          <w:szCs w:val="22"/>
        </w:rPr>
        <w:t xml:space="preserve"> </w:t>
      </w:r>
      <w:r w:rsidRPr="00CE643D">
        <w:rPr>
          <w:sz w:val="22"/>
          <w:szCs w:val="22"/>
        </w:rPr>
        <w:t>Compared</w:t>
      </w:r>
      <w:r w:rsidR="001B6F3A">
        <w:rPr>
          <w:sz w:val="22"/>
          <w:szCs w:val="22"/>
        </w:rPr>
        <w:t xml:space="preserve"> </w:t>
      </w:r>
      <w:r w:rsidRPr="00CE643D">
        <w:rPr>
          <w:sz w:val="22"/>
          <w:szCs w:val="22"/>
        </w:rPr>
        <w:t>PTs written work, think out loud transcript, and interview transcripts</w:t>
      </w:r>
      <w:r w:rsidR="001B6F3A">
        <w:rPr>
          <w:sz w:val="22"/>
          <w:szCs w:val="22"/>
        </w:rPr>
        <w:t xml:space="preserve"> </w:t>
      </w:r>
      <w:r w:rsidRPr="00CE643D">
        <w:rPr>
          <w:sz w:val="22"/>
          <w:szCs w:val="22"/>
        </w:rPr>
        <w:t>resulting data consistency.</w:t>
      </w:r>
    </w:p>
    <w:p w:rsidR="001B6F3A" w:rsidRDefault="00CE643D" w:rsidP="001B6F3A">
      <w:pPr>
        <w:pStyle w:val="Body"/>
        <w:rPr>
          <w:sz w:val="22"/>
          <w:szCs w:val="22"/>
        </w:rPr>
      </w:pPr>
      <w:r w:rsidRPr="00CE643D">
        <w:rPr>
          <w:sz w:val="22"/>
          <w:szCs w:val="22"/>
        </w:rPr>
        <w:t xml:space="preserve">By focusing on important themes such as whether PTs make scribbles outside work, convey theories related to problems, this study provide describtion of how PTs interpret students' mathematical thinking, and characteristics of their interpretations. We used third-order models from </w:t>
      </w:r>
      <w:r w:rsidRPr="00CE643D">
        <w:rPr>
          <w:sz w:val="22"/>
          <w:szCs w:val="22"/>
        </w:rPr>
        <w:fldChar w:fldCharType="begin" w:fldLock="1"/>
      </w:r>
      <w:r w:rsidR="007A7B95">
        <w:rPr>
          <w:sz w:val="22"/>
          <w:szCs w:val="22"/>
        </w:rPr>
        <w:instrText>ADDIN CSL_CITATION { "citationItems" : [ { "id" : "ITEM-1", "itemData" : { "DOI" : "10.5951/jresematheduc.42.1.0039", "ISBN" : "0021-8251", "ISSN" : "00218251", "abstract" : "This study investigated the processes used by prospective mathematics teachers as they examined middle-school students\u2019 work solving statistical problems using a computer software program. Students\u2019 work on the tasks was captured in a videocase used by prospective teachers enrolled in a mathematics education course focused on teaching secondary mathematics with technology. The researchers developed a model for characterizing prospective teachers\u2019 attention to students\u2019 work and actions and interpretations of students\u2019 mathematical thinking. The model facilitated the identi- fication of four categories: describing, comparing, inferring, and restructuring. Ways in which the model may be used by other researchers and implications for the design of pedagogical tasks for prospective teachers are discussed.", "author" : [ { "dropping-particle" : "", "family" : "Wilson", "given" : "P. Holt", "non-dropping-particle" : "", "parse-names" : false, "suffix" : "" }, { "dropping-particle" : "", "family" : "Lee", "given" : "Hollylynne Stohl", "non-dropping-particle" : "", "parse-names" : false, "suffix" : "" }, { "dropping-particle" : "", "family" : "Hollebrands", "given" : "Karen F.", "non-dropping-particle" : "", "parse-names" : false, "suffix" : "" } ], "container-title" : "Journal for Research in Mathematics Education", "id" : "ITEM-1", "issue" : "1", "issued" : { "date-parts" : [ [ "2011" ] ] }, "page" : "39-64", "title" : "Understanding prospective mathematics teachers' processes for making sense of students' work with technology", "type" : "article-journal", "volume" : "42" }, "uris" : [ "http://www.mendeley.com/documents/?uuid=862337c7-8621-41a3-8676-47903b40430e" ] } ], "mendeley" : { "formattedCitation" : "(P. H. Wilson et al., 2011)", "manualFormatting" : "Wilson et al.(2011)", "plainTextFormattedCitation" : "(P. H. Wilson et al., 2011)", "previouslyFormattedCitation" : "(P. H. Wilson et al., 2011)" }, "properties" : {  }, "schema" : "https://github.com/citation-style-language/schema/raw/master/csl-citation.json" }</w:instrText>
      </w:r>
      <w:r w:rsidRPr="00CE643D">
        <w:rPr>
          <w:sz w:val="22"/>
          <w:szCs w:val="22"/>
        </w:rPr>
        <w:fldChar w:fldCharType="separate"/>
      </w:r>
      <w:r w:rsidR="001B6F3A">
        <w:rPr>
          <w:noProof/>
          <w:sz w:val="22"/>
          <w:szCs w:val="22"/>
        </w:rPr>
        <w:t>Wilson et al.(</w:t>
      </w:r>
      <w:r w:rsidRPr="00CE643D">
        <w:rPr>
          <w:noProof/>
          <w:sz w:val="22"/>
          <w:szCs w:val="22"/>
        </w:rPr>
        <w:t>2011)</w:t>
      </w:r>
      <w:r w:rsidRPr="00CE643D">
        <w:rPr>
          <w:sz w:val="22"/>
          <w:szCs w:val="22"/>
        </w:rPr>
        <w:fldChar w:fldCharType="end"/>
      </w:r>
      <w:r w:rsidRPr="00CE643D">
        <w:rPr>
          <w:sz w:val="22"/>
          <w:szCs w:val="22"/>
        </w:rPr>
        <w:t xml:space="preserve"> to describe our desciption of PTs’ interpretation of students’ mathematical thinking (see </w:t>
      </w:r>
      <w:r w:rsidRPr="00E07854">
        <w:rPr>
          <w:sz w:val="22"/>
          <w:szCs w:val="22"/>
        </w:rPr>
        <w:t>Figure 4).</w:t>
      </w:r>
      <w:r w:rsidRPr="00CE643D">
        <w:rPr>
          <w:sz w:val="22"/>
          <w:szCs w:val="22"/>
        </w:rPr>
        <w:t xml:space="preserve"> This is similar to the point of view of </w:t>
      </w:r>
      <w:r w:rsidRPr="00CE643D">
        <w:rPr>
          <w:sz w:val="22"/>
          <w:szCs w:val="22"/>
        </w:rPr>
        <w:fldChar w:fldCharType="begin" w:fldLock="1"/>
      </w:r>
      <w:r w:rsidRPr="00CE643D">
        <w:rPr>
          <w:sz w:val="22"/>
          <w:szCs w:val="22"/>
        </w:rPr>
        <w:instrText>ADDIN CSL_CITATION { "citationItems" : [ { "id" : "ITEM-1", "itemData" : { "DOI" : "10.2307/749835", "ISBN" : "0021-8251", "ISSN" : "0021-8251", "abstract" : "In this article we articulate a methodology for studying mathematics teacher development in the context of reform. The generation of accounts of teachers'practice, an adaptation of the case study, provides an approach to understanding teachers' current practice and to viewing their cur-rent practice in the context of development toward envisioned reforms. The methodology is an alternative both to studies that focus on teachers' deficits and to teachers' own accounts of their practice. Conceptual frameworks developed within the mathematics education research com-munity are applied to the task of investigating the nature of practice developed by teachers in transition. We characterize this methodology as explicating the teacher's perspective from the researchers' perspectives. Current efforts to reform mathematics education involve radical change in the mathematics taught in schools, the nature of students' mathematical activity, and teachers' perspectives on mathematics learning and teaching. The enactment of these envisioned changes depends heavily on the effectiveness of opportunities for ongoing mathematics teacher development. Educating experienced teachers to transform their teaching practice to be more consistent with current reform prin-ciples places significant demands on the mathematics education research commu-nity. In order to design and implement successful learning opportunities for teach-ers, mathematics teacher educators need research-based understanding of how teachers develop from traditional teachers toward teachers who contribute to and implement the mathematics education reform agenda. In this article we describe a particular methodological approach for contributing to a research-based under-standing of teacher development in the context of promoting reform.", "author" : [ { "dropping-particle" : "", "family" : "Simon", "given" : "Martin A.", "non-dropping-particle" : "", "parse-names" : false, "suffix" : "" }, { "dropping-particle" : "", "family" : "Tzur", "given" : "Ron", "non-dropping-particle" : "", "parse-names" : false, "suffix" : "" } ], "container-title" : "Journal for Research in Mathematics Education", "id" : "ITEM-1", "issue" : "4", "issued" : { "date-parts" : [ [ "1999" ] ] }, "page" : "252-264", "title" : "Explicating the teacher's perspective from the researchers' perspectives: Generating accounts of mathematics teachers' practice", "type" : "article-journal", "volume" : "30" }, "uris" : [ "http://www.mendeley.com/documents/?uuid=1dbc98c1-925a-437f-bcdd-a4e404d32a48" ] } ], "mendeley" : { "formattedCitation" : "(Simon &amp; Tzur, 1999)", "plainTextFormattedCitation" : "(Simon &amp; Tzur, 1999)", "previouslyFormattedCitation" : "(Simon &amp; Tzur, 1999)" }, "properties" : {  }, "schema" : "https://github.com/citation-style-language/schema/raw/master/csl-citation.json" }</w:instrText>
      </w:r>
      <w:r w:rsidRPr="00CE643D">
        <w:rPr>
          <w:sz w:val="22"/>
          <w:szCs w:val="22"/>
        </w:rPr>
        <w:fldChar w:fldCharType="separate"/>
      </w:r>
      <w:r w:rsidRPr="00CE643D">
        <w:rPr>
          <w:noProof/>
          <w:sz w:val="22"/>
          <w:szCs w:val="22"/>
        </w:rPr>
        <w:t>(Simon &amp; Tzur, 1999)</w:t>
      </w:r>
      <w:r w:rsidRPr="00CE643D">
        <w:rPr>
          <w:sz w:val="22"/>
          <w:szCs w:val="22"/>
        </w:rPr>
        <w:fldChar w:fldCharType="end"/>
      </w:r>
      <w:r w:rsidRPr="00CE643D">
        <w:rPr>
          <w:sz w:val="22"/>
          <w:szCs w:val="22"/>
        </w:rPr>
        <w:t xml:space="preserve"> in which they explain “the teacher’s perspective from the researchers’ perspectives” (p. 254). </w:t>
      </w:r>
    </w:p>
    <w:p w:rsidR="00FF5ABA" w:rsidRDefault="000E7FDD" w:rsidP="001B6F3A">
      <w:pPr>
        <w:pStyle w:val="Body"/>
        <w:rPr>
          <w:sz w:val="22"/>
          <w:szCs w:val="22"/>
        </w:rPr>
      </w:pPr>
      <w:r>
        <w:rPr>
          <w:noProof/>
          <w:sz w:val="22"/>
          <w:szCs w:val="22"/>
          <w:lang w:eastAsia="zh-CN"/>
        </w:rPr>
        <mc:AlternateContent>
          <mc:Choice Requires="wpg">
            <w:drawing>
              <wp:anchor distT="0" distB="0" distL="114300" distR="114300" simplePos="0" relativeHeight="251665408" behindDoc="0" locked="0" layoutInCell="1" allowOverlap="1">
                <wp:simplePos x="0" y="0"/>
                <wp:positionH relativeFrom="column">
                  <wp:posOffset>342900</wp:posOffset>
                </wp:positionH>
                <wp:positionV relativeFrom="paragraph">
                  <wp:posOffset>66040</wp:posOffset>
                </wp:positionV>
                <wp:extent cx="4655820" cy="1257300"/>
                <wp:effectExtent l="0" t="0" r="11430" b="19050"/>
                <wp:wrapNone/>
                <wp:docPr id="3" name="Group 3"/>
                <wp:cNvGraphicFramePr/>
                <a:graphic xmlns:a="http://schemas.openxmlformats.org/drawingml/2006/main">
                  <a:graphicData uri="http://schemas.microsoft.com/office/word/2010/wordprocessingGroup">
                    <wpg:wgp>
                      <wpg:cNvGrpSpPr/>
                      <wpg:grpSpPr>
                        <a:xfrm>
                          <a:off x="0" y="0"/>
                          <a:ext cx="4655820" cy="1257300"/>
                          <a:chOff x="0" y="0"/>
                          <a:chExt cx="4655820" cy="1257300"/>
                        </a:xfrm>
                      </wpg:grpSpPr>
                      <wpg:grpSp>
                        <wpg:cNvPr id="1" name="Group 1"/>
                        <wpg:cNvGrpSpPr/>
                        <wpg:grpSpPr>
                          <a:xfrm>
                            <a:off x="0" y="0"/>
                            <a:ext cx="4655820" cy="1257300"/>
                            <a:chOff x="144780" y="83820"/>
                            <a:chExt cx="4655820" cy="1257300"/>
                          </a:xfrm>
                        </wpg:grpSpPr>
                        <wps:wsp>
                          <wps:cNvPr id="4" name="Rectangle 4"/>
                          <wps:cNvSpPr/>
                          <wps:spPr>
                            <a:xfrm>
                              <a:off x="144780" y="640080"/>
                              <a:ext cx="1211580" cy="7010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344F0" w:rsidRPr="005A4659" w:rsidRDefault="005344F0" w:rsidP="005A4659">
                                <w:pPr>
                                  <w:rPr>
                                    <w:sz w:val="18"/>
                                  </w:rPr>
                                </w:pPr>
                                <w:r w:rsidRPr="005A4659">
                                  <w:rPr>
                                    <w:rFonts w:ascii="Times New Roman" w:hAnsi="Times New Roman" w:cs="Times New Roman"/>
                                    <w:sz w:val="18"/>
                                  </w:rPr>
                                  <w:t>Students’ mathematical work about Building Construction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645920" y="342900"/>
                              <a:ext cx="1440180" cy="8763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344F0" w:rsidRPr="005A4659" w:rsidRDefault="005344F0" w:rsidP="005A4659">
                                <w:pPr>
                                  <w:rPr>
                                    <w:sz w:val="18"/>
                                  </w:rPr>
                                </w:pPr>
                                <w:r w:rsidRPr="005A4659">
                                  <w:rPr>
                                    <w:rFonts w:ascii="Times New Roman" w:hAnsi="Times New Roman" w:cs="Times New Roman"/>
                                    <w:sz w:val="18"/>
                                  </w:rPr>
                                  <w:t>Prospective teachers description of students’ work and interpretation of  students’ mathematical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352800" y="83820"/>
                              <a:ext cx="1447800" cy="71628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344F0" w:rsidRPr="005A4659" w:rsidRDefault="005344F0" w:rsidP="005A4659">
                                <w:pPr>
                                  <w:rPr>
                                    <w:sz w:val="18"/>
                                  </w:rPr>
                                </w:pPr>
                                <w:r w:rsidRPr="005A4659">
                                  <w:rPr>
                                    <w:rFonts w:ascii="Times New Roman" w:hAnsi="Times New Roman" w:cs="Times New Roman"/>
                                    <w:sz w:val="18"/>
                                  </w:rPr>
                                  <w:t>Researchers’ description about prospective teachers’ interpretation of students’ mathematical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H="1">
                              <a:off x="1409700" y="708660"/>
                              <a:ext cx="190500" cy="35052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0" name="Straight Arrow Connector 10"/>
                        <wps:cNvCnPr/>
                        <wps:spPr>
                          <a:xfrm flipH="1">
                            <a:off x="2979420" y="274320"/>
                            <a:ext cx="190500" cy="35052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 o:spid="_x0000_s1027" style="position:absolute;left:0;text-align:left;margin-left:27pt;margin-top:5.2pt;width:366.6pt;height:99pt;z-index:251665408" coordsize="4655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">
                <v:group id="Group 1" o:spid="_x0000_s1028" style="position:absolute;width:46558;height:12573" coordorigin="1447,838" coordsize="46558,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left:1447;top:6400;width:12116;height:7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rsidR="005344F0" w:rsidRPr="005A4659" w:rsidRDefault="005344F0" w:rsidP="005A4659">
                          <w:pPr>
                            <w:rPr>
                              <w:sz w:val="18"/>
                            </w:rPr>
                          </w:pPr>
                          <w:r w:rsidRPr="005A4659">
                            <w:rPr>
                              <w:rFonts w:ascii="Times New Roman" w:hAnsi="Times New Roman" w:cs="Times New Roman"/>
                              <w:sz w:val="18"/>
                            </w:rPr>
                            <w:t>Students’ mathematical work about Building Construction Problem</w:t>
                          </w:r>
                        </w:p>
                      </w:txbxContent>
                    </v:textbox>
                  </v:rect>
                  <v:rect id="Rectangle 5" o:spid="_x0000_s1030" style="position:absolute;left:16459;top:3429;width:14402;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rsidR="005344F0" w:rsidRPr="005A4659" w:rsidRDefault="005344F0" w:rsidP="005A4659">
                          <w:pPr>
                            <w:rPr>
                              <w:sz w:val="18"/>
                            </w:rPr>
                          </w:pPr>
                          <w:r w:rsidRPr="005A4659">
                            <w:rPr>
                              <w:rFonts w:ascii="Times New Roman" w:hAnsi="Times New Roman" w:cs="Times New Roman"/>
                              <w:sz w:val="18"/>
                            </w:rPr>
                            <w:t>Prospective teachers description of students’ work and interpretation of  students’ mathematical thinking</w:t>
                          </w:r>
                        </w:p>
                      </w:txbxContent>
                    </v:textbox>
                  </v:rect>
                  <v:rect id="Rectangle 6" o:spid="_x0000_s1031" style="position:absolute;left:33528;top:838;width:14478;height:7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rsidR="005344F0" w:rsidRPr="005A4659" w:rsidRDefault="005344F0" w:rsidP="005A4659">
                          <w:pPr>
                            <w:rPr>
                              <w:sz w:val="18"/>
                            </w:rPr>
                          </w:pPr>
                          <w:r w:rsidRPr="005A4659">
                            <w:rPr>
                              <w:rFonts w:ascii="Times New Roman" w:hAnsi="Times New Roman" w:cs="Times New Roman"/>
                              <w:sz w:val="18"/>
                            </w:rPr>
                            <w:t>Researchers’ description about prospective teachers’ interpretation of students’ mathematical thinking</w:t>
                          </w: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left:14097;top:7086;width:1905;height:35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xPGb8AAADaAAAADwAAAGRycy9kb3ducmV2LnhtbERPy4rCMBTdC/5DuII7TUdBpJoWEQqj&#10;4OBr4fLSXJsyzU1pMlr/frIQXB7Oe533thEP6nztWMHXNAFBXDpdc6XgeikmSxA+IGtsHJOCF3nI&#10;s+Fgjal2Tz7R4xwqEUPYp6jAhNCmUvrSkEU/dS1x5O6usxgi7CqpO3zGcNvIWZIspMWaY4PBlraG&#10;yt/zn1UQfszteCsX9/1uqws+zI+zItkoNR71mxWIQH34iN/ub60gbo1X4g2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0xPGb8AAADaAAAADwAAAAAAAAAAAAAAAACh&#10;AgAAZHJzL2Rvd25yZXYueG1sUEsFBgAAAAAEAAQA+QAAAI0DAAAAAA==&#10;" strokecolor="black [3213]" strokeweight="1pt">
                    <v:stroke endarrow="block"/>
                  </v:shape>
                </v:group>
                <v:shape id="Straight Arrow Connector 10" o:spid="_x0000_s1033" type="#_x0000_t32" style="position:absolute;left:29794;top:2743;width:1905;height:35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48MQAAADbAAAADwAAAGRycy9kb3ducmV2LnhtbESPT2vCQBDF7wW/wzJCb3VTCyLRVUQI&#10;VMHiv4PHITtmQ7OzIbvV+O07B8HbDO/Ne7+ZL3vfqBt1sQ5s4HOUgSIug625MnA+FR9TUDEhW2wC&#10;k4EHRVguBm9zzG2484Fux1QpCeGYowGXUptrHUtHHuMotMSiXUPnMcnaVdp2eJdw3+hxlk20x5ql&#10;wWFLa0fl7/HPG0g/7rK/lJPrdrO2Be++9uMiWxnzPuxXM1CJ+vQyP6+/reALvfwiA+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bjwxAAAANsAAAAPAAAAAAAAAAAA&#10;AAAAAKECAABkcnMvZG93bnJldi54bWxQSwUGAAAAAAQABAD5AAAAkgMAAAAA&#10;" strokecolor="black [3213]" strokeweight="1pt">
                  <v:stroke endarrow="block"/>
                </v:shape>
              </v:group>
            </w:pict>
          </mc:Fallback>
        </mc:AlternateContent>
      </w:r>
    </w:p>
    <w:p w:rsidR="00FF5ABA" w:rsidRDefault="00FF5ABA" w:rsidP="001B6F3A">
      <w:pPr>
        <w:pStyle w:val="Body"/>
        <w:rPr>
          <w:sz w:val="22"/>
          <w:szCs w:val="22"/>
        </w:rPr>
      </w:pPr>
    </w:p>
    <w:p w:rsidR="000E7FDD" w:rsidRDefault="000E7FDD" w:rsidP="001B6F3A">
      <w:pPr>
        <w:pStyle w:val="Body"/>
        <w:rPr>
          <w:sz w:val="22"/>
          <w:szCs w:val="22"/>
        </w:rPr>
      </w:pPr>
    </w:p>
    <w:p w:rsidR="000E7FDD" w:rsidRDefault="000E7FDD" w:rsidP="001B6F3A">
      <w:pPr>
        <w:pStyle w:val="Body"/>
        <w:rPr>
          <w:sz w:val="22"/>
          <w:szCs w:val="22"/>
        </w:rPr>
      </w:pPr>
    </w:p>
    <w:p w:rsidR="000E7FDD" w:rsidRDefault="000E7FDD" w:rsidP="001B6F3A">
      <w:pPr>
        <w:pStyle w:val="Body"/>
        <w:rPr>
          <w:sz w:val="22"/>
          <w:szCs w:val="22"/>
        </w:rPr>
      </w:pPr>
    </w:p>
    <w:p w:rsidR="00FF5ABA" w:rsidRDefault="00FF5ABA" w:rsidP="001B6F3A">
      <w:pPr>
        <w:pStyle w:val="Body"/>
        <w:rPr>
          <w:sz w:val="22"/>
          <w:szCs w:val="22"/>
        </w:rPr>
      </w:pPr>
    </w:p>
    <w:p w:rsidR="000E7FDD" w:rsidRPr="000E7FDD" w:rsidRDefault="000E7FDD" w:rsidP="000E7FDD">
      <w:pPr>
        <w:pStyle w:val="Body"/>
        <w:spacing w:line="240" w:lineRule="auto"/>
        <w:jc w:val="center"/>
        <w:rPr>
          <w:sz w:val="20"/>
          <w:szCs w:val="22"/>
        </w:rPr>
      </w:pPr>
      <w:r w:rsidRPr="000E7FDD">
        <w:rPr>
          <w:b/>
          <w:sz w:val="22"/>
        </w:rPr>
        <w:t>Figure 4</w:t>
      </w:r>
      <w:r w:rsidRPr="000E7FDD">
        <w:rPr>
          <w:sz w:val="22"/>
        </w:rPr>
        <w:t>. A representation of the process of researchers characterising PTs interpretation of students’ mathematical thinking</w:t>
      </w:r>
    </w:p>
    <w:p w:rsidR="000E7FDD" w:rsidRDefault="000E7FDD" w:rsidP="008F4A97">
      <w:pPr>
        <w:spacing w:after="0" w:line="360" w:lineRule="auto"/>
        <w:jc w:val="both"/>
        <w:rPr>
          <w:rFonts w:ascii="Times New Roman" w:hAnsi="Times New Roman" w:cs="Times New Roman"/>
          <w:b/>
        </w:rPr>
      </w:pPr>
    </w:p>
    <w:p w:rsidR="00CE643D" w:rsidRPr="00CE643D" w:rsidRDefault="00CE643D" w:rsidP="008F4A97">
      <w:pPr>
        <w:spacing w:after="0" w:line="360" w:lineRule="auto"/>
        <w:jc w:val="both"/>
        <w:rPr>
          <w:rFonts w:ascii="Times New Roman" w:hAnsi="Times New Roman" w:cs="Times New Roman"/>
          <w:b/>
        </w:rPr>
      </w:pPr>
      <w:r>
        <w:rPr>
          <w:rFonts w:ascii="Times New Roman" w:hAnsi="Times New Roman" w:cs="Times New Roman"/>
          <w:b/>
        </w:rPr>
        <w:t>RESULT AND DISCUSSION</w:t>
      </w:r>
    </w:p>
    <w:p w:rsidR="00EB4D55" w:rsidRPr="00CE643D" w:rsidRDefault="00CE643D" w:rsidP="00CE643D">
      <w:pPr>
        <w:pStyle w:val="Body"/>
        <w:rPr>
          <w:sz w:val="22"/>
          <w:szCs w:val="22"/>
        </w:rPr>
      </w:pPr>
      <w:r w:rsidRPr="00CE643D">
        <w:rPr>
          <w:sz w:val="22"/>
          <w:szCs w:val="22"/>
        </w:rPr>
        <w:t>Look at how PTs interpret student thinking is done by looking at how they see student work data and how they obtain interpretations.</w:t>
      </w:r>
      <w:r w:rsidR="001B6F3A">
        <w:rPr>
          <w:sz w:val="22"/>
          <w:szCs w:val="22"/>
        </w:rPr>
        <w:t xml:space="preserve"> </w:t>
      </w:r>
      <w:r w:rsidRPr="00CE643D">
        <w:rPr>
          <w:sz w:val="22"/>
          <w:szCs w:val="22"/>
        </w:rPr>
        <w:t>Of the 23 participants, 9 participants show the characteristics of comparing models include: 3 participants doing comparing work, and 6 participants doing comparing knowledge. This study</w:t>
      </w:r>
      <w:r w:rsidR="001B6F3A">
        <w:rPr>
          <w:sz w:val="22"/>
          <w:szCs w:val="22"/>
        </w:rPr>
        <w:t xml:space="preserve"> </w:t>
      </w:r>
      <w:r w:rsidRPr="00CE643D">
        <w:rPr>
          <w:sz w:val="22"/>
          <w:szCs w:val="22"/>
        </w:rPr>
        <w:t xml:space="preserve">describs 2 </w:t>
      </w:r>
      <w:r w:rsidR="003A41CC">
        <w:rPr>
          <w:sz w:val="22"/>
          <w:szCs w:val="22"/>
        </w:rPr>
        <w:t>participant</w:t>
      </w:r>
      <w:r w:rsidRPr="00CE643D">
        <w:rPr>
          <w:sz w:val="22"/>
          <w:szCs w:val="22"/>
        </w:rPr>
        <w:t xml:space="preserve"> for each comparing model.</w:t>
      </w:r>
    </w:p>
    <w:p w:rsidR="00CE643D" w:rsidRPr="00925DB1" w:rsidRDefault="00CE643D" w:rsidP="00CE643D">
      <w:pPr>
        <w:pStyle w:val="Heading2"/>
      </w:pPr>
      <w:r>
        <w:t>Comparing Work Model</w:t>
      </w:r>
    </w:p>
    <w:p w:rsidR="00CE643D" w:rsidRPr="00CE643D" w:rsidRDefault="00CE643D" w:rsidP="00CE643D">
      <w:pPr>
        <w:pStyle w:val="Body"/>
        <w:rPr>
          <w:sz w:val="22"/>
          <w:szCs w:val="22"/>
        </w:rPr>
      </w:pPr>
      <w:r w:rsidRPr="00CE643D">
        <w:rPr>
          <w:sz w:val="22"/>
          <w:szCs w:val="22"/>
        </w:rPr>
        <w:t xml:space="preserve">The subjects in comparing work group are Ar and Sal. This group begin completing ToIoSMT by reading the BCP and attending to student’s strategies. Ar and Sal showed evidence that they used comparing work model in interpreting students' mathematical thinking. Both of them completed the BCP to be compared with the students' written work artifacts.  Ar completed the BCP first before attending to the student's work, while Sal completed the BCP after following the student's work.  Although Sal solved BCP problems after attending to student work, both used their work explicitly to determine what was true among the four students i.e. belong to A and D. </w:t>
      </w:r>
    </w:p>
    <w:p w:rsidR="00CE643D" w:rsidRPr="00CE643D" w:rsidRDefault="00CE643D" w:rsidP="00CE643D">
      <w:pPr>
        <w:pStyle w:val="Body"/>
        <w:rPr>
          <w:sz w:val="22"/>
          <w:szCs w:val="22"/>
        </w:rPr>
      </w:pPr>
      <w:r w:rsidRPr="00CE643D">
        <w:rPr>
          <w:sz w:val="22"/>
          <w:szCs w:val="22"/>
        </w:rPr>
        <w:lastRenderedPageBreak/>
        <w:t>Ar used his work to determine which of the four students’ written work are correct. According to him, the number of workers to be added is 30 people and there are two correct answers. This is evident from the following aloud quotes.</w:t>
      </w:r>
    </w:p>
    <w:p w:rsidR="00CE643D" w:rsidRPr="00E172F2" w:rsidRDefault="00CE643D" w:rsidP="00CE643D">
      <w:pPr>
        <w:pStyle w:val="a"/>
        <w:ind w:left="567" w:firstLine="0"/>
        <w:rPr>
          <w:rFonts w:ascii="Times New Roman" w:hAnsi="Times New Roman" w:cs="Times New Roman"/>
          <w:i/>
          <w:sz w:val="22"/>
        </w:rPr>
      </w:pPr>
      <w:r w:rsidRPr="00E172F2">
        <w:rPr>
          <w:rFonts w:ascii="Times New Roman" w:hAnsi="Times New Roman" w:cs="Times New Roman"/>
          <w:i/>
          <w:sz w:val="22"/>
        </w:rPr>
        <w:t>If according to my work, e... additional workers will be 30 people. But here are different. Two students answered correctly.</w:t>
      </w:r>
    </w:p>
    <w:p w:rsidR="00CE643D" w:rsidRPr="00CE643D" w:rsidRDefault="00CE643D" w:rsidP="00E172F2">
      <w:pPr>
        <w:pStyle w:val="Body"/>
        <w:spacing w:before="240"/>
        <w:ind w:firstLine="0"/>
        <w:rPr>
          <w:sz w:val="22"/>
          <w:szCs w:val="22"/>
        </w:rPr>
      </w:pPr>
      <w:r w:rsidRPr="00CE643D">
        <w:rPr>
          <w:sz w:val="22"/>
          <w:szCs w:val="22"/>
        </w:rPr>
        <w:t xml:space="preserve">He said "if according to my work", it shows that he compared the student's work with his own work.  At the time of interpreting the mathematical thinking of student A, Ar showed evidence that by completing the BCP he could presume students' unwritten thoughts. Ar's interpretation of student A's mathematical thinking is that student A understands what is known and what to look for eventhough the student does not perform a detailed calculation to obtain 150. Although the calculation process for obtaining 150 was not written, Ar implicitly assumes that students use inversed proportion. It was apparent from what Ar submitted in the passage. </w:t>
      </w:r>
    </w:p>
    <w:p w:rsidR="00CE643D" w:rsidRPr="00E172F2" w:rsidRDefault="00CE643D" w:rsidP="00CE643D">
      <w:pPr>
        <w:pStyle w:val="a"/>
        <w:ind w:left="567" w:firstLine="0"/>
        <w:rPr>
          <w:rFonts w:ascii="Times New Roman" w:hAnsi="Times New Roman" w:cs="Times New Roman"/>
          <w:i/>
          <w:sz w:val="22"/>
        </w:rPr>
      </w:pPr>
      <w:r w:rsidRPr="00E172F2">
        <w:rPr>
          <w:rFonts w:ascii="Times New Roman" w:hAnsi="Times New Roman" w:cs="Times New Roman"/>
          <w:i/>
          <w:sz w:val="22"/>
        </w:rPr>
        <w:t>... If I modeled the A student's work, A already knows that it used the concept of inversed proportion. .... Na, to get 150, he did not write that. It's quite confusing, how he gets 150. That possibility is 150 from ...could be... it's reversed. It can be reversed or 15 multiplied by 10. Possible as it is.</w:t>
      </w:r>
    </w:p>
    <w:p w:rsidR="00CE643D" w:rsidRPr="00CE643D" w:rsidRDefault="00CE643D" w:rsidP="00E172F2">
      <w:pPr>
        <w:pStyle w:val="a"/>
        <w:spacing w:before="240"/>
        <w:ind w:firstLine="0"/>
        <w:rPr>
          <w:rFonts w:ascii="Times New Roman" w:eastAsia="BatangChe" w:hAnsi="Times New Roman" w:cs="Times New Roman"/>
          <w:color w:val="auto"/>
          <w:sz w:val="22"/>
          <w:lang w:eastAsia="ko-KR"/>
        </w:rPr>
      </w:pPr>
      <w:r w:rsidRPr="00CE643D">
        <w:rPr>
          <w:rFonts w:ascii="Times New Roman" w:eastAsia="BatangChe" w:hAnsi="Times New Roman" w:cs="Times New Roman"/>
          <w:color w:val="auto"/>
          <w:sz w:val="22"/>
          <w:lang w:eastAsia="ko-KR"/>
        </w:rPr>
        <w:t xml:space="preserve">This is reinforced by the explanation when asked how she got the number 10.  </w:t>
      </w:r>
    </w:p>
    <w:p w:rsidR="00CE643D" w:rsidRPr="00E172F2" w:rsidRDefault="00CE643D" w:rsidP="00CE643D">
      <w:pPr>
        <w:pStyle w:val="a"/>
        <w:ind w:left="567" w:firstLine="0"/>
        <w:rPr>
          <w:rFonts w:ascii="Times New Roman" w:hAnsi="Times New Roman" w:cs="Times New Roman"/>
          <w:i/>
          <w:sz w:val="22"/>
        </w:rPr>
      </w:pPr>
      <w:r w:rsidRPr="00E172F2">
        <w:rPr>
          <w:rFonts w:ascii="Times New Roman" w:hAnsi="Times New Roman" w:cs="Times New Roman"/>
          <w:i/>
          <w:sz w:val="22"/>
        </w:rPr>
        <w:t>... Students guess, there is a number 12, there is a number 120, there is a number 15 (refers to student A's work on the part of the relationship between time and many workers). Possibility 15 multiplied by 10.</w:t>
      </w:r>
    </w:p>
    <w:p w:rsidR="00CE643D" w:rsidRPr="00CE643D" w:rsidRDefault="00CE643D" w:rsidP="00E172F2">
      <w:pPr>
        <w:pStyle w:val="Body"/>
        <w:spacing w:before="240"/>
        <w:rPr>
          <w:sz w:val="22"/>
          <w:szCs w:val="22"/>
        </w:rPr>
      </w:pPr>
      <w:r w:rsidRPr="00CE643D">
        <w:rPr>
          <w:sz w:val="22"/>
          <w:szCs w:val="22"/>
        </w:rPr>
        <w:t>In the beginning, Sal attended to the students' written work according to what the students wrote without giving an argument. Next Sal used gestures while counting. It looks from the following Sal’s behavior and think out loud.</w:t>
      </w:r>
    </w:p>
    <w:p w:rsidR="00CE643D" w:rsidRPr="00E172F2" w:rsidRDefault="00CE643D" w:rsidP="00CE643D">
      <w:pPr>
        <w:pStyle w:val="a"/>
        <w:ind w:left="567" w:firstLine="0"/>
        <w:rPr>
          <w:rFonts w:ascii="Times New Roman" w:hAnsi="Times New Roman" w:cs="Times New Roman"/>
          <w:i/>
          <w:sz w:val="22"/>
        </w:rPr>
      </w:pPr>
      <w:r w:rsidRPr="00E172F2">
        <w:rPr>
          <w:rFonts w:ascii="Times New Roman" w:hAnsi="Times New Roman" w:cs="Times New Roman"/>
          <w:i/>
          <w:sz w:val="22"/>
        </w:rPr>
        <w:t>Student’s thinking … it should be ... (scrutinize and mumble, move hands doing calculations) then 15 per 12 equals x per 120.</w:t>
      </w:r>
    </w:p>
    <w:p w:rsidR="00CE643D" w:rsidRPr="00CE643D" w:rsidRDefault="00CE643D" w:rsidP="00E172F2">
      <w:pPr>
        <w:pStyle w:val="Body"/>
        <w:spacing w:before="240"/>
        <w:ind w:firstLine="0"/>
        <w:rPr>
          <w:sz w:val="22"/>
          <w:szCs w:val="22"/>
        </w:rPr>
      </w:pPr>
      <w:r w:rsidRPr="00CE643D">
        <w:rPr>
          <w:sz w:val="22"/>
          <w:szCs w:val="22"/>
        </w:rPr>
        <w:t>Sal by herself also completed the BCP at the time of interpreting stude’ts' mathematical thinking. He did it when completing the second task. Sal used her work to convince herself about the details of student’s strategies and mathematical thinking in completing the BCP. Sal saw that the work or the completion of each student is different. Further, Sal used her work to see which students are already understands and which ones are not. This is evident from the following interview excerpt between researcher (R) and subjek.</w:t>
      </w:r>
    </w:p>
    <w:p w:rsidR="00CE643D" w:rsidRPr="00E172F2" w:rsidRDefault="00CE643D" w:rsidP="00CE643D">
      <w:pPr>
        <w:pStyle w:val="a"/>
        <w:tabs>
          <w:tab w:val="left" w:pos="1134"/>
          <w:tab w:val="left" w:pos="1276"/>
        </w:tabs>
        <w:spacing w:after="0"/>
        <w:ind w:left="1276" w:hanging="709"/>
        <w:rPr>
          <w:rFonts w:ascii="Times New Roman" w:hAnsi="Times New Roman" w:cs="Times New Roman"/>
          <w:sz w:val="22"/>
        </w:rPr>
      </w:pPr>
      <w:r w:rsidRPr="00E172F2">
        <w:rPr>
          <w:rFonts w:ascii="Times New Roman" w:hAnsi="Times New Roman" w:cs="Times New Roman"/>
          <w:sz w:val="22"/>
        </w:rPr>
        <w:t>R</w:t>
      </w:r>
      <w:r w:rsidRPr="00E172F2">
        <w:rPr>
          <w:rFonts w:ascii="Times New Roman" w:hAnsi="Times New Roman" w:cs="Times New Roman"/>
          <w:sz w:val="22"/>
        </w:rPr>
        <w:tab/>
        <w:t xml:space="preserve">:  </w:t>
      </w:r>
      <w:r w:rsidRPr="00E172F2">
        <w:rPr>
          <w:rFonts w:ascii="Times New Roman" w:hAnsi="Times New Roman" w:cs="Times New Roman"/>
          <w:i/>
          <w:sz w:val="22"/>
        </w:rPr>
        <w:t>Further you assure which one is right which one is wrong with?</w:t>
      </w:r>
    </w:p>
    <w:p w:rsidR="00CE643D" w:rsidRPr="00E172F2" w:rsidRDefault="00CE643D" w:rsidP="00CE643D">
      <w:pPr>
        <w:pStyle w:val="a"/>
        <w:tabs>
          <w:tab w:val="left" w:pos="1134"/>
          <w:tab w:val="left" w:pos="1276"/>
        </w:tabs>
        <w:spacing w:after="0"/>
        <w:ind w:left="1276" w:hanging="709"/>
        <w:rPr>
          <w:rFonts w:ascii="Times New Roman" w:hAnsi="Times New Roman" w:cs="Times New Roman"/>
          <w:sz w:val="22"/>
        </w:rPr>
      </w:pPr>
      <w:r w:rsidRPr="00E172F2">
        <w:rPr>
          <w:rFonts w:ascii="Times New Roman" w:hAnsi="Times New Roman" w:cs="Times New Roman"/>
          <w:sz w:val="22"/>
        </w:rPr>
        <w:t>Sal</w:t>
      </w:r>
      <w:r w:rsidRPr="00E172F2">
        <w:rPr>
          <w:rFonts w:ascii="Times New Roman" w:hAnsi="Times New Roman" w:cs="Times New Roman"/>
          <w:sz w:val="22"/>
        </w:rPr>
        <w:tab/>
        <w:t xml:space="preserve">: </w:t>
      </w:r>
      <w:r w:rsidRPr="00E172F2">
        <w:rPr>
          <w:rFonts w:ascii="Times New Roman" w:hAnsi="Times New Roman" w:cs="Times New Roman"/>
          <w:sz w:val="22"/>
        </w:rPr>
        <w:tab/>
      </w:r>
      <w:r w:rsidRPr="00E172F2">
        <w:rPr>
          <w:rFonts w:ascii="Times New Roman" w:hAnsi="Times New Roman" w:cs="Times New Roman"/>
          <w:i/>
          <w:sz w:val="22"/>
        </w:rPr>
        <w:t>with ... completing the BCP by myself.</w:t>
      </w:r>
    </w:p>
    <w:p w:rsidR="00CE643D" w:rsidRPr="00E172F2" w:rsidRDefault="00CE643D" w:rsidP="00CE643D">
      <w:pPr>
        <w:pStyle w:val="a"/>
        <w:tabs>
          <w:tab w:val="left" w:pos="1134"/>
          <w:tab w:val="left" w:pos="1276"/>
        </w:tabs>
        <w:spacing w:after="0"/>
        <w:ind w:left="1276" w:hanging="709"/>
        <w:rPr>
          <w:rFonts w:ascii="Times New Roman" w:hAnsi="Times New Roman" w:cs="Times New Roman"/>
          <w:sz w:val="22"/>
        </w:rPr>
      </w:pPr>
      <w:r w:rsidRPr="00E172F2">
        <w:rPr>
          <w:rFonts w:ascii="Times New Roman" w:hAnsi="Times New Roman" w:cs="Times New Roman"/>
          <w:sz w:val="22"/>
        </w:rPr>
        <w:t>R</w:t>
      </w:r>
      <w:r w:rsidRPr="00E172F2">
        <w:rPr>
          <w:rFonts w:ascii="Times New Roman" w:hAnsi="Times New Roman" w:cs="Times New Roman"/>
          <w:sz w:val="22"/>
        </w:rPr>
        <w:tab/>
        <w:t xml:space="preserve">: </w:t>
      </w:r>
      <w:r w:rsidRPr="00E172F2">
        <w:rPr>
          <w:rFonts w:ascii="Times New Roman" w:hAnsi="Times New Roman" w:cs="Times New Roman"/>
          <w:sz w:val="22"/>
        </w:rPr>
        <w:tab/>
      </w:r>
      <w:r w:rsidRPr="00E172F2">
        <w:rPr>
          <w:rFonts w:ascii="Times New Roman" w:hAnsi="Times New Roman" w:cs="Times New Roman"/>
          <w:i/>
          <w:sz w:val="22"/>
        </w:rPr>
        <w:t>That’s means you look back to .. (Sal reply: student work) heeh... then completing the BCP, then?</w:t>
      </w:r>
    </w:p>
    <w:p w:rsidR="00CE643D" w:rsidRPr="00E172F2" w:rsidRDefault="00CE643D" w:rsidP="00CE643D">
      <w:pPr>
        <w:pStyle w:val="a"/>
        <w:tabs>
          <w:tab w:val="left" w:pos="1134"/>
          <w:tab w:val="left" w:pos="1276"/>
        </w:tabs>
        <w:ind w:left="1276" w:hanging="709"/>
        <w:rPr>
          <w:rFonts w:ascii="Times New Roman" w:hAnsi="Times New Roman" w:cs="Times New Roman"/>
          <w:sz w:val="22"/>
        </w:rPr>
      </w:pPr>
      <w:r w:rsidRPr="00E172F2">
        <w:rPr>
          <w:rFonts w:ascii="Times New Roman" w:hAnsi="Times New Roman" w:cs="Times New Roman"/>
          <w:sz w:val="22"/>
        </w:rPr>
        <w:t>Sal</w:t>
      </w:r>
      <w:r w:rsidRPr="00E172F2">
        <w:rPr>
          <w:rFonts w:ascii="Times New Roman" w:hAnsi="Times New Roman" w:cs="Times New Roman"/>
          <w:sz w:val="22"/>
        </w:rPr>
        <w:tab/>
        <w:t>:</w:t>
      </w:r>
      <w:r w:rsidRPr="00E172F2">
        <w:rPr>
          <w:rFonts w:ascii="Times New Roman" w:hAnsi="Times New Roman" w:cs="Times New Roman"/>
          <w:sz w:val="22"/>
        </w:rPr>
        <w:tab/>
      </w:r>
      <w:r w:rsidRPr="00E172F2">
        <w:rPr>
          <w:rFonts w:ascii="Times New Roman" w:hAnsi="Times New Roman" w:cs="Times New Roman"/>
          <w:i/>
          <w:sz w:val="22"/>
        </w:rPr>
        <w:t>I conclude which one ... students who already understand, which ones have not.</w:t>
      </w:r>
    </w:p>
    <w:p w:rsidR="00CE643D" w:rsidRPr="0071101C" w:rsidRDefault="00CE643D" w:rsidP="00E172F2">
      <w:pPr>
        <w:pStyle w:val="Body"/>
        <w:spacing w:before="240"/>
      </w:pPr>
      <w:r w:rsidRPr="00CE643D">
        <w:rPr>
          <w:sz w:val="22"/>
          <w:szCs w:val="22"/>
        </w:rPr>
        <w:t xml:space="preserve">This group uses the accuracy of observation as the basis of belief and uses evidence to infer student interpretation </w:t>
      </w:r>
      <w:r w:rsidRPr="00CE643D">
        <w:rPr>
          <w:sz w:val="22"/>
          <w:szCs w:val="22"/>
        </w:rPr>
        <w:fldChar w:fldCharType="begin" w:fldLock="1"/>
      </w:r>
      <w:r w:rsidRPr="00CE643D">
        <w:rPr>
          <w:sz w:val="22"/>
          <w:szCs w:val="22"/>
        </w:rPr>
        <w:instrText>ADDIN CSL_CITATION { "citationItems" : [ { "id" : "ITEM-1", "itemData" : { "author" : [ { "dropping-particle" : "", "family" : "Swartz", "given" : "Robert", "non-dropping-particle" : "", "parse-names" : false, "suffix" : "" } ], "container-title" : "Sri Lanka Journal of Educational Research", "id" : "ITEM-1", "issued" : { "date-parts" : [ [ "2012" ] ] }, "page" : "1-39", "title" : "Infusing instruction in thinking into content instruction: What do we know about its success?", "type" : "article-journal" }, "uris" : [ "http://www.mendeley.com/documents/?uuid=228d19ef-79c6-45ba-9562-ea3d67a1bd68" ] } ], "mendeley" : { "formattedCitation" : "(Swartz, 2012)", "plainTextFormattedCitation" : "(Swartz, 2012)", "previouslyFormattedCitation" : "(Swartz, 2012)" }, "properties" : {  }, "schema" : "https://github.com/citation-style-language/schema/raw/master/csl-citation.json" }</w:instrText>
      </w:r>
      <w:r w:rsidRPr="00CE643D">
        <w:rPr>
          <w:sz w:val="22"/>
          <w:szCs w:val="22"/>
        </w:rPr>
        <w:fldChar w:fldCharType="separate"/>
      </w:r>
      <w:r w:rsidRPr="00CE643D">
        <w:rPr>
          <w:noProof/>
          <w:sz w:val="22"/>
          <w:szCs w:val="22"/>
        </w:rPr>
        <w:t>(Swartz, 2012)</w:t>
      </w:r>
      <w:r w:rsidRPr="00CE643D">
        <w:rPr>
          <w:sz w:val="22"/>
          <w:szCs w:val="22"/>
        </w:rPr>
        <w:fldChar w:fldCharType="end"/>
      </w:r>
      <w:r w:rsidRPr="00CE643D">
        <w:rPr>
          <w:sz w:val="22"/>
          <w:szCs w:val="22"/>
        </w:rPr>
        <w:t xml:space="preserve">. Accurate observation starts from detailing the stud’nt's strategy to completion. At the time of writing (following the work of students), the prospective teacher checks </w:t>
      </w:r>
      <w:r w:rsidRPr="00CE643D">
        <w:rPr>
          <w:sz w:val="22"/>
          <w:szCs w:val="22"/>
        </w:rPr>
        <w:lastRenderedPageBreak/>
        <w:t>whether there are still forgotten or left behind. For example, regarding the operating errors made by student C, they only discovered after reading several times. The characteristics  of the subjects in comparing work group were completed the BCP both at the beginning and end of the interpretation process; checked out the right or wrong work of the student based on his/her work;  recognized student strategies those match to their strategy. Their interpretations of students' mathematical thinking characterized by : 1) pay attention to the steps used to solve problems in the form of steps to solve the word problems by looking at whether students write the given information, what is asked, detailed steps of completion, as well as withdrawal / writing conclusions, 2) give an assumptions about strategies undertaken by students both written and unwritten, 3) pay attention to the concepts understood or not understood by students in this concept of inversed ratio; and 4) pay</w:t>
      </w:r>
      <w:r w:rsidR="00F17E13">
        <w:rPr>
          <w:sz w:val="22"/>
          <w:szCs w:val="22"/>
        </w:rPr>
        <w:t xml:space="preserve"> </w:t>
      </w:r>
      <w:r w:rsidRPr="00CE643D">
        <w:rPr>
          <w:sz w:val="22"/>
          <w:szCs w:val="22"/>
        </w:rPr>
        <w:t>attention to the use of variables in completion.</w:t>
      </w:r>
      <w:r w:rsidRPr="0071101C">
        <w:t xml:space="preserve"> </w:t>
      </w:r>
    </w:p>
    <w:p w:rsidR="00EB4D55" w:rsidRPr="00CE643D" w:rsidRDefault="00CE643D" w:rsidP="00EB4D55">
      <w:pPr>
        <w:pStyle w:val="Heading2"/>
      </w:pPr>
      <w:r>
        <w:t>Comparing Knowledge Model</w:t>
      </w:r>
    </w:p>
    <w:p w:rsidR="00CE643D" w:rsidRPr="00CE643D" w:rsidRDefault="00CE643D" w:rsidP="00CE643D">
      <w:pPr>
        <w:pStyle w:val="Body"/>
        <w:rPr>
          <w:sz w:val="22"/>
          <w:szCs w:val="22"/>
        </w:rPr>
      </w:pPr>
      <w:r w:rsidRPr="00CE643D">
        <w:rPr>
          <w:sz w:val="22"/>
          <w:szCs w:val="22"/>
        </w:rPr>
        <w:t xml:space="preserve">Hap dan Hen analysed student work bycomparing student work with their own knowledge while thinkout loud. They did not complete the BCP to be compared with the students' written work artifacts but compared it with their knowledge. Hap compared the student's work with her knowledge to interpret the students' mathematical thinking in completing the BCP. </w:t>
      </w:r>
    </w:p>
    <w:p w:rsidR="00CE643D" w:rsidRDefault="00CE643D" w:rsidP="00CE643D">
      <w:pPr>
        <w:pStyle w:val="Body"/>
        <w:rPr>
          <w:sz w:val="22"/>
          <w:szCs w:val="22"/>
        </w:rPr>
      </w:pPr>
      <w:r w:rsidRPr="00CE643D">
        <w:rPr>
          <w:sz w:val="22"/>
          <w:szCs w:val="22"/>
        </w:rPr>
        <w:t>Hap starts by reading the questions and proceed with examining the student's work.For example, the belowing is rewriting of A’s written work in completing BCP.</w:t>
      </w:r>
    </w:p>
    <w:tbl>
      <w:tblPr>
        <w:tblStyle w:val="TableGrid"/>
        <w:tblpPr w:bottomFromText="284" w:vertAnchor="page" w:horzAnchor="margin" w:tblpY="8353"/>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9"/>
      </w:tblGrid>
      <w:tr w:rsidR="000E7FDD" w:rsidRPr="00980B02" w:rsidTr="000E7FDD">
        <w:trPr>
          <w:cantSplit/>
        </w:trPr>
        <w:tc>
          <w:tcPr>
            <w:tcW w:w="9029" w:type="dxa"/>
          </w:tcPr>
          <w:p w:rsidR="000E7FDD" w:rsidRPr="00CE643D" w:rsidRDefault="000E7FDD" w:rsidP="000E7FDD">
            <w:pPr>
              <w:jc w:val="center"/>
              <w:rPr>
                <w:rFonts w:ascii="Times New Roman" w:hAnsi="Times New Roman" w:cs="Times New Roman"/>
              </w:rPr>
            </w:pPr>
            <w:r w:rsidRPr="00CE643D">
              <w:rPr>
                <w:rFonts w:ascii="Times New Roman" w:hAnsi="Times New Roman" w:cs="Times New Roman"/>
              </w:rPr>
              <w:object w:dxaOrig="5700" w:dyaOrig="3348">
                <v:shape id="_x0000_i1029" type="#_x0000_t75" style="width:163.8pt;height:96.6pt" o:ole="">
                  <v:imagedata r:id="rId20" o:title=""/>
                </v:shape>
                <o:OLEObject Type="Embed" ProgID="PBrush" ShapeID="_x0000_i1029" DrawAspect="Content" ObjectID="_1612716996" r:id="rId21"/>
              </w:object>
            </w:r>
          </w:p>
          <w:p w:rsidR="000E7FDD" w:rsidRPr="00CE643D" w:rsidRDefault="000E7FDD" w:rsidP="000E7FDD">
            <w:pPr>
              <w:jc w:val="center"/>
              <w:rPr>
                <w:rFonts w:ascii="Times New Roman" w:hAnsi="Times New Roman" w:cs="Times New Roman"/>
                <w:szCs w:val="18"/>
              </w:rPr>
            </w:pPr>
            <w:r w:rsidRPr="00CE643D">
              <w:rPr>
                <w:rFonts w:ascii="Times New Roman" w:hAnsi="Times New Roman" w:cs="Times New Roman"/>
                <w:b/>
              </w:rPr>
              <w:t>Figure 5.</w:t>
            </w:r>
            <w:r w:rsidRPr="00CE643D">
              <w:rPr>
                <w:rFonts w:ascii="Times New Roman" w:hAnsi="Times New Roman" w:cs="Times New Roman"/>
              </w:rPr>
              <w:t xml:space="preserve"> Rewriting of A’s written work</w:t>
            </w:r>
          </w:p>
        </w:tc>
      </w:tr>
    </w:tbl>
    <w:p w:rsidR="00CE643D" w:rsidRPr="00CE643D" w:rsidRDefault="00CE643D" w:rsidP="005A4659">
      <w:pPr>
        <w:pStyle w:val="Body"/>
        <w:ind w:firstLine="0"/>
        <w:rPr>
          <w:sz w:val="22"/>
          <w:szCs w:val="22"/>
        </w:rPr>
      </w:pPr>
      <w:r w:rsidRPr="00CE643D">
        <w:rPr>
          <w:sz w:val="22"/>
          <w:szCs w:val="22"/>
        </w:rPr>
        <w:t>Student A did not write an operation that shows an inversed proportion, A only wrote “inversed proportion”. When attended to student A's work, Hap first thinks about the solution. Hap considered her knowledge of inversed proportion, i.e. comparison between variables, i.e. the time ratio is equal to the number of people. By multiplication will be the number of people needed. While the number of workers added is obtained by reducing the number of workers should be with many existing workers. This is apparent when Hap looks at the work of Student A on the following think out loud excerp.</w:t>
      </w:r>
    </w:p>
    <w:p w:rsidR="00CE643D" w:rsidRPr="00F17E13" w:rsidRDefault="00CE643D" w:rsidP="00CE643D">
      <w:pPr>
        <w:pStyle w:val="a"/>
        <w:ind w:left="567" w:firstLine="0"/>
        <w:rPr>
          <w:rFonts w:ascii="Times New Roman" w:hAnsi="Times New Roman" w:cs="Times New Roman"/>
          <w:i/>
          <w:sz w:val="22"/>
        </w:rPr>
      </w:pPr>
      <w:r w:rsidRPr="00F17E13">
        <w:rPr>
          <w:rFonts w:ascii="Times New Roman" w:hAnsi="Times New Roman" w:cs="Times New Roman"/>
          <w:i/>
          <w:sz w:val="22"/>
        </w:rPr>
        <w:t>.... Using the concept Ta: Tb is the same as person a : person b. Later will result a number of person b equal to a number of persons a multiplied by Tb and divided by Ta. So the number of workers to be added is by reducing number of people in first time with number of people in the second time. The additional people were the second people minus the first people. That will generate the amount.</w:t>
      </w:r>
    </w:p>
    <w:p w:rsidR="00CE643D" w:rsidRPr="00CE643D" w:rsidRDefault="00CE643D" w:rsidP="00F17E13">
      <w:pPr>
        <w:pStyle w:val="Body"/>
        <w:spacing w:before="240"/>
        <w:rPr>
          <w:sz w:val="22"/>
          <w:szCs w:val="22"/>
        </w:rPr>
      </w:pPr>
      <w:r w:rsidRPr="00CE643D">
        <w:rPr>
          <w:sz w:val="22"/>
          <w:szCs w:val="22"/>
        </w:rPr>
        <w:t xml:space="preserve">Hap knew the right answer not by doing in writing but rather using his thinking (knowledge). She did it to match students' work with their thinking. In this way Hap becomes aware that the correct </w:t>
      </w:r>
      <w:r w:rsidRPr="00CE643D">
        <w:rPr>
          <w:sz w:val="22"/>
          <w:szCs w:val="22"/>
        </w:rPr>
        <w:lastRenderedPageBreak/>
        <w:t xml:space="preserve">answer belongs to student A and student D.  This is evident from the following interview excerpt.                                                                         </w:t>
      </w:r>
    </w:p>
    <w:p w:rsidR="00CE643D" w:rsidRPr="00F17E13" w:rsidRDefault="00CE643D" w:rsidP="00CE643D">
      <w:pPr>
        <w:pStyle w:val="a"/>
        <w:tabs>
          <w:tab w:val="left" w:pos="1134"/>
          <w:tab w:val="left" w:pos="1276"/>
        </w:tabs>
        <w:spacing w:after="0"/>
        <w:ind w:left="1276" w:hanging="709"/>
        <w:rPr>
          <w:rFonts w:ascii="Times New Roman" w:hAnsi="Times New Roman" w:cs="Times New Roman"/>
          <w:sz w:val="22"/>
        </w:rPr>
      </w:pPr>
      <w:r w:rsidRPr="00F17E13">
        <w:rPr>
          <w:rFonts w:ascii="Times New Roman" w:hAnsi="Times New Roman" w:cs="Times New Roman"/>
          <w:sz w:val="22"/>
        </w:rPr>
        <w:t>R</w:t>
      </w:r>
      <w:r w:rsidRPr="00F17E13">
        <w:rPr>
          <w:rFonts w:ascii="Times New Roman" w:hAnsi="Times New Roman" w:cs="Times New Roman"/>
          <w:sz w:val="22"/>
        </w:rPr>
        <w:tab/>
        <w:t xml:space="preserve">: </w:t>
      </w:r>
      <w:r w:rsidRPr="00F17E13">
        <w:rPr>
          <w:rFonts w:ascii="Times New Roman" w:hAnsi="Times New Roman" w:cs="Times New Roman"/>
          <w:sz w:val="22"/>
        </w:rPr>
        <w:tab/>
      </w:r>
      <w:r w:rsidRPr="00F17E13">
        <w:rPr>
          <w:rFonts w:ascii="Times New Roman" w:hAnsi="Times New Roman" w:cs="Times New Roman"/>
          <w:i/>
          <w:sz w:val="22"/>
        </w:rPr>
        <w:t>Are you scratching or not?</w:t>
      </w:r>
    </w:p>
    <w:p w:rsidR="00CE643D" w:rsidRPr="00F17E13" w:rsidRDefault="00CE643D" w:rsidP="00CE643D">
      <w:pPr>
        <w:pStyle w:val="a"/>
        <w:tabs>
          <w:tab w:val="left" w:pos="1134"/>
          <w:tab w:val="left" w:pos="1276"/>
        </w:tabs>
        <w:spacing w:after="0"/>
        <w:ind w:left="1276" w:hanging="709"/>
        <w:rPr>
          <w:rFonts w:ascii="Times New Roman" w:hAnsi="Times New Roman" w:cs="Times New Roman"/>
          <w:sz w:val="22"/>
        </w:rPr>
      </w:pPr>
      <w:r w:rsidRPr="00F17E13">
        <w:rPr>
          <w:rFonts w:ascii="Times New Roman" w:hAnsi="Times New Roman" w:cs="Times New Roman"/>
          <w:sz w:val="22"/>
        </w:rPr>
        <w:t>Hap</w:t>
      </w:r>
      <w:r w:rsidRPr="00F17E13">
        <w:rPr>
          <w:rFonts w:ascii="Times New Roman" w:hAnsi="Times New Roman" w:cs="Times New Roman"/>
          <w:sz w:val="22"/>
        </w:rPr>
        <w:tab/>
        <w:t>:</w:t>
      </w:r>
      <w:r w:rsidRPr="00F17E13">
        <w:rPr>
          <w:rFonts w:ascii="Times New Roman" w:hAnsi="Times New Roman" w:cs="Times New Roman"/>
          <w:sz w:val="22"/>
        </w:rPr>
        <w:tab/>
      </w:r>
      <w:r w:rsidRPr="00F17E13">
        <w:rPr>
          <w:rFonts w:ascii="Times New Roman" w:hAnsi="Times New Roman" w:cs="Times New Roman"/>
          <w:i/>
          <w:sz w:val="22"/>
        </w:rPr>
        <w:t>No.</w:t>
      </w:r>
    </w:p>
    <w:p w:rsidR="00CE643D" w:rsidRPr="00F17E13" w:rsidRDefault="00CE643D" w:rsidP="00CE643D">
      <w:pPr>
        <w:pStyle w:val="a"/>
        <w:tabs>
          <w:tab w:val="left" w:pos="1134"/>
          <w:tab w:val="left" w:pos="1276"/>
        </w:tabs>
        <w:spacing w:after="0"/>
        <w:ind w:left="1276" w:hanging="709"/>
        <w:rPr>
          <w:rFonts w:ascii="Times New Roman" w:hAnsi="Times New Roman" w:cs="Times New Roman"/>
          <w:sz w:val="22"/>
        </w:rPr>
      </w:pPr>
      <w:r w:rsidRPr="00F17E13">
        <w:rPr>
          <w:rFonts w:ascii="Times New Roman" w:hAnsi="Times New Roman" w:cs="Times New Roman"/>
          <w:sz w:val="22"/>
        </w:rPr>
        <w:t>R</w:t>
      </w:r>
      <w:r w:rsidRPr="00F17E13">
        <w:rPr>
          <w:rFonts w:ascii="Times New Roman" w:hAnsi="Times New Roman" w:cs="Times New Roman"/>
          <w:sz w:val="22"/>
        </w:rPr>
        <w:tab/>
        <w:t>:</w:t>
      </w:r>
      <w:r w:rsidRPr="00F17E13">
        <w:rPr>
          <w:rFonts w:ascii="Times New Roman" w:hAnsi="Times New Roman" w:cs="Times New Roman"/>
          <w:sz w:val="22"/>
        </w:rPr>
        <w:tab/>
      </w:r>
      <w:r w:rsidRPr="00F17E13">
        <w:rPr>
          <w:rFonts w:ascii="Times New Roman" w:hAnsi="Times New Roman" w:cs="Times New Roman"/>
          <w:i/>
          <w:sz w:val="22"/>
        </w:rPr>
        <w:t>why?</w:t>
      </w:r>
    </w:p>
    <w:p w:rsidR="00CE643D" w:rsidRPr="00F17E13" w:rsidRDefault="00CE643D" w:rsidP="00CE643D">
      <w:pPr>
        <w:pStyle w:val="a"/>
        <w:tabs>
          <w:tab w:val="left" w:pos="1134"/>
          <w:tab w:val="left" w:pos="1276"/>
        </w:tabs>
        <w:ind w:left="1276" w:hanging="709"/>
        <w:rPr>
          <w:rFonts w:ascii="Times New Roman" w:hAnsi="Times New Roman" w:cs="Times New Roman"/>
          <w:sz w:val="22"/>
        </w:rPr>
      </w:pPr>
      <w:r w:rsidRPr="00F17E13">
        <w:rPr>
          <w:rFonts w:ascii="Times New Roman" w:hAnsi="Times New Roman" w:cs="Times New Roman"/>
          <w:sz w:val="22"/>
        </w:rPr>
        <w:t>Hap</w:t>
      </w:r>
      <w:r w:rsidRPr="00F17E13">
        <w:rPr>
          <w:rFonts w:ascii="Times New Roman" w:hAnsi="Times New Roman" w:cs="Times New Roman"/>
          <w:sz w:val="22"/>
        </w:rPr>
        <w:tab/>
        <w:t>:</w:t>
      </w:r>
      <w:r w:rsidRPr="00F17E13">
        <w:rPr>
          <w:rFonts w:ascii="Times New Roman" w:hAnsi="Times New Roman" w:cs="Times New Roman"/>
          <w:sz w:val="22"/>
        </w:rPr>
        <w:tab/>
      </w:r>
      <w:r w:rsidRPr="00F17E13">
        <w:rPr>
          <w:rFonts w:ascii="Times New Roman" w:hAnsi="Times New Roman" w:cs="Times New Roman"/>
          <w:i/>
          <w:sz w:val="22"/>
        </w:rPr>
        <w:t>Because, from the student’s work I'm direct ... from this work I was told to give a comment, I look at it from this answer. And I match with my thinking. Yes this is with ... such fondness ... and I get the correct answer between this one (A) and this (D). The point is these ones are true.</w:t>
      </w:r>
    </w:p>
    <w:p w:rsidR="00CE643D" w:rsidRPr="00CE643D" w:rsidRDefault="00CE643D" w:rsidP="00F17E13">
      <w:pPr>
        <w:pStyle w:val="Body"/>
        <w:ind w:firstLine="0"/>
        <w:rPr>
          <w:sz w:val="22"/>
          <w:szCs w:val="22"/>
        </w:rPr>
      </w:pPr>
      <w:r w:rsidRPr="00CE643D">
        <w:rPr>
          <w:sz w:val="22"/>
          <w:szCs w:val="22"/>
        </w:rPr>
        <w:t>Hen also showed evidence that he was doing analysis with comparing knowledge. When attended to the students' work, Hen did not know the students’ answer right or wrong yet. He analyzed by considering the formula that should be used. It was apparent when Hen looks at the student’s A work on the following think aloud.</w:t>
      </w:r>
    </w:p>
    <w:p w:rsidR="00CE643D" w:rsidRPr="00F17E13" w:rsidRDefault="00CE643D" w:rsidP="00CE643D">
      <w:pPr>
        <w:pStyle w:val="a"/>
        <w:ind w:left="567" w:firstLine="0"/>
        <w:rPr>
          <w:rFonts w:ascii="Times New Roman" w:hAnsi="Times New Roman" w:cs="Times New Roman"/>
          <w:i/>
          <w:sz w:val="22"/>
        </w:rPr>
      </w:pPr>
      <w:r w:rsidRPr="00F17E13">
        <w:rPr>
          <w:rFonts w:ascii="Times New Roman" w:hAnsi="Times New Roman" w:cs="Times New Roman"/>
          <w:i/>
          <w:sz w:val="22"/>
        </w:rPr>
        <w:t xml:space="preserve">The ratio used ... In the ratio formula there are two direct ratio and inversed proportions. The proportion used (while looking at student work) on the problems presented is a inversed proportion. </w:t>
      </w:r>
    </w:p>
    <w:p w:rsidR="00CE643D" w:rsidRPr="00F17E13" w:rsidRDefault="00CE643D" w:rsidP="00F17E13">
      <w:pPr>
        <w:pStyle w:val="Body"/>
        <w:ind w:firstLine="0"/>
        <w:rPr>
          <w:sz w:val="22"/>
          <w:szCs w:val="22"/>
        </w:rPr>
      </w:pPr>
      <w:r w:rsidRPr="00CE643D">
        <w:rPr>
          <w:sz w:val="22"/>
          <w:szCs w:val="22"/>
        </w:rPr>
        <w:t xml:space="preserve">In the interview, Hen explained her knowledge of the theory of inversed proportion. In inversed </w:t>
      </w:r>
      <w:r w:rsidRPr="00F17E13">
        <w:rPr>
          <w:sz w:val="22"/>
          <w:szCs w:val="22"/>
        </w:rPr>
        <w:t>proportion, the formula used is A1 : B2 equal to A2 : B1.</w:t>
      </w:r>
    </w:p>
    <w:p w:rsidR="00CE643D" w:rsidRPr="00F17E13" w:rsidRDefault="00CE643D" w:rsidP="00CE643D">
      <w:pPr>
        <w:pStyle w:val="a"/>
        <w:ind w:left="567" w:firstLine="0"/>
        <w:rPr>
          <w:rFonts w:ascii="Times New Roman" w:hAnsi="Times New Roman" w:cs="Times New Roman"/>
          <w:i/>
          <w:sz w:val="22"/>
        </w:rPr>
      </w:pPr>
      <w:r w:rsidRPr="00F17E13">
        <w:rPr>
          <w:rFonts w:ascii="Times New Roman" w:hAnsi="Times New Roman" w:cs="Times New Roman"/>
          <w:i/>
          <w:sz w:val="22"/>
        </w:rPr>
        <w:t>Since it is presented that the ratio is reversed then the student should use a formula ... for example, using the ratio A1 : B2 equals A2 : B1 so. Na, this work is appropriate.</w:t>
      </w:r>
    </w:p>
    <w:p w:rsidR="00CE643D" w:rsidRDefault="00CE643D" w:rsidP="00F17E13">
      <w:pPr>
        <w:pStyle w:val="Body"/>
        <w:rPr>
          <w:sz w:val="22"/>
          <w:szCs w:val="22"/>
        </w:rPr>
      </w:pPr>
      <w:r w:rsidRPr="00CE643D">
        <w:rPr>
          <w:sz w:val="22"/>
          <w:szCs w:val="22"/>
        </w:rPr>
        <w:t xml:space="preserve">Hen’s interpretation of students' mathematical thinking A is that A's students have understood and can determine inversed ratio in BCP.The underlying reason for Hen's assumption that the student understands the inversed ratio is also apparent in the interview about how student A earns 150. According to Hen, students do a inversed ratio considering the longer the time of completion of work the fewer workers. And if work is accelerated then more workers are needed. The following </w:t>
      </w:r>
      <w:r w:rsidR="008A38D5" w:rsidRPr="008F4A97">
        <w:rPr>
          <w:sz w:val="22"/>
          <w:szCs w:val="22"/>
        </w:rPr>
        <w:t>Figure 6</w:t>
      </w:r>
      <w:r w:rsidR="008A38D5">
        <w:rPr>
          <w:sz w:val="22"/>
          <w:szCs w:val="22"/>
        </w:rPr>
        <w:t xml:space="preserve"> </w:t>
      </w:r>
      <w:r w:rsidRPr="00CE643D">
        <w:rPr>
          <w:sz w:val="22"/>
          <w:szCs w:val="22"/>
        </w:rPr>
        <w:t>is Hen's thinking about the alleged operation A has performed.</w:t>
      </w:r>
    </w:p>
    <w:tbl>
      <w:tblPr>
        <w:tblStyle w:val="TableGrid"/>
        <w:tblpPr w:bottomFromText="284" w:vertAnchor="page" w:horzAnchor="margin" w:tblpY="972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9"/>
      </w:tblGrid>
      <w:tr w:rsidR="000E7FDD" w:rsidRPr="00980B02" w:rsidTr="000E7FDD">
        <w:trPr>
          <w:cantSplit/>
        </w:trPr>
        <w:tc>
          <w:tcPr>
            <w:tcW w:w="9029" w:type="dxa"/>
          </w:tcPr>
          <w:p w:rsidR="000E7FDD" w:rsidRPr="0051487C" w:rsidRDefault="000E7FDD" w:rsidP="000E7FDD">
            <w:pPr>
              <w:jc w:val="center"/>
              <w:rPr>
                <w:rFonts w:ascii="Times New Roman" w:hAnsi="Times New Roman" w:cs="Times New Roman"/>
              </w:rPr>
            </w:pPr>
            <w:r w:rsidRPr="0051487C">
              <w:rPr>
                <w:rFonts w:ascii="Times New Roman" w:hAnsi="Times New Roman" w:cs="Times New Roman"/>
                <w:noProof/>
              </w:rPr>
              <w:drawing>
                <wp:inline distT="0" distB="0" distL="0" distR="0" wp14:anchorId="49FFA773" wp14:editId="6FC7CA34">
                  <wp:extent cx="3817620" cy="1677782"/>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7620" cy="1677782"/>
                          </a:xfrm>
                          <a:prstGeom prst="rect">
                            <a:avLst/>
                          </a:prstGeom>
                          <a:noFill/>
                          <a:ln>
                            <a:noFill/>
                          </a:ln>
                        </pic:spPr>
                      </pic:pic>
                    </a:graphicData>
                  </a:graphic>
                </wp:inline>
              </w:drawing>
            </w:r>
          </w:p>
          <w:p w:rsidR="000E7FDD" w:rsidRPr="0051487C" w:rsidRDefault="000E7FDD" w:rsidP="000E7FDD">
            <w:pPr>
              <w:jc w:val="center"/>
              <w:rPr>
                <w:rFonts w:ascii="Impact" w:hAnsi="Impact"/>
                <w:szCs w:val="18"/>
              </w:rPr>
            </w:pPr>
            <w:r w:rsidRPr="0051487C">
              <w:rPr>
                <w:rFonts w:ascii="Times New Roman" w:hAnsi="Times New Roman" w:cs="Times New Roman"/>
                <w:b/>
              </w:rPr>
              <w:t>Figure 6.</w:t>
            </w:r>
            <w:r w:rsidRPr="0051487C">
              <w:rPr>
                <w:rFonts w:ascii="Times New Roman" w:hAnsi="Times New Roman" w:cs="Times New Roman"/>
              </w:rPr>
              <w:t xml:space="preserve"> Hen's thinking about the concept of inversed ratio allegedly done by the students</w:t>
            </w:r>
          </w:p>
        </w:tc>
      </w:tr>
    </w:tbl>
    <w:p w:rsidR="00CE643D" w:rsidRPr="0051487C" w:rsidRDefault="00CE643D" w:rsidP="0051487C">
      <w:pPr>
        <w:pStyle w:val="Body"/>
        <w:rPr>
          <w:sz w:val="22"/>
          <w:szCs w:val="22"/>
        </w:rPr>
      </w:pPr>
      <w:r w:rsidRPr="0051487C">
        <w:rPr>
          <w:sz w:val="22"/>
          <w:szCs w:val="22"/>
        </w:rPr>
        <w:t>The Comparing Knowledge group also uses accurate observations of the details of student work (Swartz, 2012) and beliefs about concepts that are understood to ensure their understanding. They based their beliefs on their details about the students’ work or strategies they attended. This belief is based on the consideration that during the process of observing, they have considered their thoughts on the concept of proportion. Therefore, they no longer check the work, the order of work, or the concept used.</w:t>
      </w:r>
    </w:p>
    <w:p w:rsidR="0051487C" w:rsidRDefault="00CE643D" w:rsidP="0051487C">
      <w:pPr>
        <w:pStyle w:val="Body"/>
        <w:rPr>
          <w:sz w:val="22"/>
          <w:szCs w:val="22"/>
        </w:rPr>
      </w:pPr>
      <w:r w:rsidRPr="0051487C">
        <w:rPr>
          <w:sz w:val="22"/>
          <w:szCs w:val="22"/>
        </w:rPr>
        <w:lastRenderedPageBreak/>
        <w:t>The characteristics  of the subjects in comparing knowledge group are: notmake an written solution of the problem, only use their knowledge or thinking about the solution and concept of inversed proportion, checked out the right or wrong of the students’work based on their unwritten solution, and recognized student strategies that match with their strategy.Their interpretation of students’ mathematical thinking characterized by : 1) payattention to the operations performed or suspected of the students and the use of the property of the counting operation on the students’ work, 2) pay attention to the concept used is inversed ratio explicitly or implicitly as well as students’ mistake, and 3) assess what students have or have not understood.</w:t>
      </w:r>
    </w:p>
    <w:p w:rsidR="0051487C" w:rsidRPr="0071101C" w:rsidRDefault="0051487C" w:rsidP="0051487C">
      <w:pPr>
        <w:pStyle w:val="Heading2"/>
      </w:pPr>
      <w:r>
        <w:rPr>
          <w:rStyle w:val="shorttext"/>
        </w:rPr>
        <w:t>The Use of Representation in Interpreting Students’ Mathematical Thinking</w:t>
      </w:r>
    </w:p>
    <w:p w:rsidR="0051487C" w:rsidRPr="0051487C" w:rsidRDefault="0051487C" w:rsidP="0051487C">
      <w:pPr>
        <w:pStyle w:val="Body"/>
        <w:rPr>
          <w:sz w:val="22"/>
          <w:szCs w:val="22"/>
        </w:rPr>
      </w:pPr>
      <w:r w:rsidRPr="0051487C">
        <w:rPr>
          <w:sz w:val="22"/>
          <w:szCs w:val="22"/>
        </w:rPr>
        <w:t xml:space="preserve">The interpretation of the characters of different answers is also different. Student A's answer is incomplete, where the students only write what is known, what is asked, and the concept that will be used, namely the inversed proportion, but do not write the operating process. With this type of answer, comparing work and comparing knowledge group makes guesses about the operations performed by students. This is related to the use of the rubric in giving an assessment (interpretation). Prospective teachers need tools to interpret students' mathematical thinking on standard or evaluation criteria. The Comparing group has a rubric that is a set of coherent criteria for student work that includes a description of the level of quality of performance on these criteria </w:t>
      </w:r>
      <w:r w:rsidRPr="0051487C">
        <w:rPr>
          <w:sz w:val="22"/>
          <w:szCs w:val="22"/>
        </w:rPr>
        <w:fldChar w:fldCharType="begin" w:fldLock="1"/>
      </w:r>
      <w:r w:rsidRPr="0051487C">
        <w:rPr>
          <w:sz w:val="22"/>
          <w:szCs w:val="22"/>
        </w:rPr>
        <w:instrText>ADDIN CSL_CITATION { "citationItems" : [ { "id" : "ITEM-1", "itemData" : { "ISBN" : "9781416615071", "author" : [ { "dropping-particle" : "", "family" : "Brookhart", "given" : "S. M.", "non-dropping-particle" : "", "parse-names" : false, "suffix" : "" } ], "id" : "ITEM-1", "issued" : { "date-parts" : [ [ "2013" ] ] }, "number-of-pages" : "174", "publisher" : "ASCD", "publisher-place" : "Alexandria, VA", "title" : "How to create and use rubrics for formative assessment and grading", "type" : "book" }, "uris" : [ "http://www.mendeley.com/documents/?uuid=21296c7b-1483-462e-843a-ae04ec9504ee" ] } ], "mendeley" : { "formattedCitation" : "(Brookhart, 2013)", "plainTextFormattedCitation" : "(Brookhart, 2013)", "previouslyFormattedCitation" : "(Brookhart, 2013)" }, "properties" : {  }, "schema" : "https://github.com/citation-style-language/schema/raw/master/csl-citation.json" }</w:instrText>
      </w:r>
      <w:r w:rsidRPr="0051487C">
        <w:rPr>
          <w:sz w:val="22"/>
          <w:szCs w:val="22"/>
        </w:rPr>
        <w:fldChar w:fldCharType="separate"/>
      </w:r>
      <w:r w:rsidRPr="0051487C">
        <w:rPr>
          <w:noProof/>
          <w:sz w:val="22"/>
          <w:szCs w:val="22"/>
        </w:rPr>
        <w:t>(Brookhart, 2013)</w:t>
      </w:r>
      <w:r w:rsidRPr="0051487C">
        <w:rPr>
          <w:sz w:val="22"/>
          <w:szCs w:val="22"/>
        </w:rPr>
        <w:fldChar w:fldCharType="end"/>
      </w:r>
      <w:r w:rsidRPr="0051487C">
        <w:rPr>
          <w:sz w:val="22"/>
          <w:szCs w:val="22"/>
        </w:rPr>
        <w:t>. Both groups use different tools / rubrics to analyze students' work, namely comparing the work of students with their own work or with their thoughts. Comparing work groups use external rubrics to analyze students' mathematical thinking, where they use their work as a tool to assess or interpret. Comparing knowledge groups use their thinking as an internal rubric, where rubrics are not expressed in external representations. Prospective teachers have obtained an idea of ​​how the problem will be resolved, what concepts are involved in it, and how he will provide an external or internal assessment.</w:t>
      </w:r>
    </w:p>
    <w:p w:rsidR="0051487C" w:rsidRPr="0051487C" w:rsidRDefault="0051487C" w:rsidP="0051487C">
      <w:pPr>
        <w:pStyle w:val="Body"/>
        <w:rPr>
          <w:sz w:val="22"/>
          <w:szCs w:val="22"/>
        </w:rPr>
      </w:pPr>
      <w:r w:rsidRPr="0051487C">
        <w:rPr>
          <w:sz w:val="22"/>
          <w:szCs w:val="22"/>
        </w:rPr>
        <w:t xml:space="preserve">Doodles about problem solving or thought of prospective teachers are basically external representations and internal representations of the rubric or the criteria they use to assess. External representations are representations that can be easily communicated to others, while internal representations are images created in mind for mathematical objects and processes </w:t>
      </w:r>
      <w:r w:rsidRPr="0051487C">
        <w:rPr>
          <w:sz w:val="22"/>
          <w:szCs w:val="22"/>
        </w:rPr>
        <w:fldChar w:fldCharType="begin" w:fldLock="1"/>
      </w:r>
      <w:r w:rsidRPr="0051487C">
        <w:rPr>
          <w:sz w:val="22"/>
          <w:szCs w:val="22"/>
        </w:rPr>
        <w:instrText>ADDIN CSL_CITATION { "citationItems" : [ { "id" : "ITEM-1", "itemData" : { "ISBN" : "978-0-87353-495-6", "author" : [ { "dropping-particle" : "", "family" : "Cuoco", "given" : "A.A.", "non-dropping-particle" : "", "parse-names" : false, "suffix" : "" } ], "id" : "ITEM-1", "issued" : { "date-parts" : [ [ "2001" ] ] }, "number-of-pages" : "282", "publisher" : "National Council of Teachers of Mathematics", "publisher-place" : "Reston, VA", "title" : "The Role of Representation in Schol Mathematics 2001 Yearbook", "type" : "book" }, "uris" : [ "http://www.mendeley.com/documents/?uuid=1c953647-cbd4-4843-981a-0a60675e56cb" ] } ], "mendeley" : { "formattedCitation" : "(Cuoco, 2001)", "plainTextFormattedCitation" : "(Cuoco, 2001)", "previouslyFormattedCitation" : "(Cuoco, 2001)" }, "properties" : {  }, "schema" : "https://github.com/citation-style-language/schema/raw/master/csl-citation.json" }</w:instrText>
      </w:r>
      <w:r w:rsidRPr="0051487C">
        <w:rPr>
          <w:sz w:val="22"/>
          <w:szCs w:val="22"/>
        </w:rPr>
        <w:fldChar w:fldCharType="separate"/>
      </w:r>
      <w:r w:rsidRPr="0051487C">
        <w:rPr>
          <w:noProof/>
          <w:sz w:val="22"/>
          <w:szCs w:val="22"/>
        </w:rPr>
        <w:t>(Cuoco, 2001)</w:t>
      </w:r>
      <w:r w:rsidRPr="0051487C">
        <w:rPr>
          <w:sz w:val="22"/>
          <w:szCs w:val="22"/>
        </w:rPr>
        <w:fldChar w:fldCharType="end"/>
      </w:r>
      <w:r w:rsidRPr="0051487C">
        <w:rPr>
          <w:sz w:val="22"/>
          <w:szCs w:val="22"/>
        </w:rPr>
        <w:t xml:space="preserve">. Comparing work groups use written solutions as a basis for analyzing or evaluating students' mathematical thinking. This is an external representation of mathematical concepts, acting as a stimulus for the senses </w:t>
      </w:r>
      <w:r w:rsidRPr="0051487C">
        <w:rPr>
          <w:sz w:val="22"/>
          <w:szCs w:val="22"/>
        </w:rPr>
        <w:fldChar w:fldCharType="begin" w:fldLock="1"/>
      </w:r>
      <w:r w:rsidRPr="0051487C">
        <w:rPr>
          <w:sz w:val="22"/>
          <w:szCs w:val="22"/>
        </w:rPr>
        <w:instrText>ADDIN CSL_CITATION { "citationItems" : [ { "id" : "ITEM-1", "itemData" : { "author" : [ { "dropping-particle" : "", "family" : "Janvier", "given" : "C.", "non-dropping-particle" : "", "parse-names" : false, "suffix" : "" }, { "dropping-particle" : "", "family" : "Girardon", "given" : "C.", "non-dropping-particle" : "", "parse-names" : false, "suffix" : "" }, { "dropping-particle" : "", "family" : "Morand", "given" : "J", "non-dropping-particle" : "", "parse-names" : false, "suffix" : "" } ], "container-title" : "Research ideas for the classroom: High school mathematics", "editor" : [ { "dropping-particle" : "", "family" : "Wilson", "given" : "P. S.", "non-dropping-particle" : "", "parse-names" : false, "suffix" : "" } ], "id" : "ITEM-1", "issued" : { "date-parts" : [ [ "1993" ] ] }, "page" : "81", "publisher" : "NCTM", "publisher-place" : "Reston, VA", "title" : "Mathematical symbols and representations", "type" : "chapter" }, "uris" : [ "http://www.mendeley.com/documents/?uuid=712bfb39-2f0e-469e-8311-bc50fa5339a2" ] } ], "mendeley" : { "formattedCitation" : "(Janvier, Girardon, &amp; Morand, 1993)", "plainTextFormattedCitation" : "(Janvier, Girardon, &amp; Morand, 1993)", "previouslyFormattedCitation" : "(Janvier, Girardon, &amp; Morand, 1993)" }, "properties" : {  }, "schema" : "https://github.com/citation-style-language/schema/raw/master/csl-citation.json" }</w:instrText>
      </w:r>
      <w:r w:rsidRPr="0051487C">
        <w:rPr>
          <w:sz w:val="22"/>
          <w:szCs w:val="22"/>
        </w:rPr>
        <w:fldChar w:fldCharType="separate"/>
      </w:r>
      <w:r w:rsidRPr="0051487C">
        <w:rPr>
          <w:noProof/>
          <w:sz w:val="22"/>
          <w:szCs w:val="22"/>
        </w:rPr>
        <w:t>(Janvier, Girardon, &amp; Morand, 1993)</w:t>
      </w:r>
      <w:r w:rsidRPr="0051487C">
        <w:rPr>
          <w:sz w:val="22"/>
          <w:szCs w:val="22"/>
        </w:rPr>
        <w:fldChar w:fldCharType="end"/>
      </w:r>
      <w:r w:rsidRPr="0051487C">
        <w:rPr>
          <w:sz w:val="22"/>
          <w:szCs w:val="22"/>
        </w:rPr>
        <w:t xml:space="preserve"> that helps prospective teachers understand the concepts students use. The group of comparing knowledge uses their thinking as an internal representation of the rubric in solving problems. They describe mathematical ideas about invers proportion ​​in their thinking (Cuoco, 2001) so that they can be used to interpret students' mathematical thinking.</w:t>
      </w:r>
    </w:p>
    <w:p w:rsidR="0051487C" w:rsidRPr="0051487C" w:rsidRDefault="0051487C" w:rsidP="0051487C">
      <w:pPr>
        <w:pStyle w:val="Body"/>
        <w:rPr>
          <w:sz w:val="22"/>
          <w:szCs w:val="22"/>
        </w:rPr>
      </w:pPr>
      <w:r w:rsidRPr="0051487C">
        <w:rPr>
          <w:sz w:val="22"/>
          <w:szCs w:val="22"/>
        </w:rPr>
        <w:t xml:space="preserve">Representation of a problem is influenced by their past experience </w:t>
      </w:r>
      <w:r w:rsidRPr="0051487C">
        <w:rPr>
          <w:sz w:val="22"/>
          <w:szCs w:val="22"/>
        </w:rPr>
        <w:fldChar w:fldCharType="begin" w:fldLock="1"/>
      </w:r>
      <w:r w:rsidRPr="0051487C">
        <w:rPr>
          <w:sz w:val="22"/>
          <w:szCs w:val="22"/>
        </w:rPr>
        <w:instrText>ADDIN CSL_CITATION { "citationItems" : [ { "id" : "ITEM-1", "itemData" : { "DOI" : "10.4324/9780203832714", "ISBN" : "9780203832714", "ISSN" : "00107530", "abstract" : "Starting with roots of the idea of noticing as a potentially intentional rather than haphazard act, I first outline aspects of what I call The Discipline of Noticing (Mason 1984, Mason 2002). Central to this view is the idea that noticing is a collection of practices designed to sensitize oneself so as to notice opportunities in the future in which to act freshly rather than automatically out of habit. I next consider ways in which noticing has produced insights and informed action in teaching, learning, and conducting professional development having to do with mathematics. Constructs such as attention and intention, awareness, and consciousness are not only researchable using the discipline of noticing and informative about how noticing actually works but also contribute to our appreciation of intricacies of learning and teaching mathematics.", "author" : [ { "dropping-particle" : "", "family" : "Mason", "given" : "John", "non-dropping-particle" : "", "parse-names" : false, "suffix" : "" } ], "chapter-number" : "3", "container-title" : "Mathematics Teacher Noticing Seeing Through Teachers' Eyes", "editor" : [ { "dropping-particle" : "", "family" : "Sherin", "given" : "Miriam Gamoran", "non-dropping-particle" : "", "parse-names" : false, "suffix" : "" }, { "dropping-particle" : "", "family" : "Jacobs", "given" : "Victoria J", "non-dropping-particle" : "", "parse-names" : false, "suffix" : "" }, { "dropping-particle" : "", "family" : "Phillip", "given" : "Randolph", "non-dropping-particle" : "", "parse-names" : false, "suffix" : "" } ], "id" : "ITEM-1", "issue" : "January 2011", "issued" : { "date-parts" : [ [ "2011" ] ] }, "page" : "35-50", "publisher" : "Routledge", "publisher-place" : "New York", "title" : "Noticing Roots and Branches", "type" : "chapter" }, "uris" : [ "http://www.mendeley.com/documents/?uuid=f5934b39-3c85-4f50-86d2-a5fd2227cbac" ] } ], "mendeley" : { "formattedCitation" : "(Mason, 2011)", "plainTextFormattedCitation" : "(Mason, 2011)", "previouslyFormattedCitation" : "(Mason, 2011)" }, "properties" : {  }, "schema" : "https://github.com/citation-style-language/schema/raw/master/csl-citation.json" }</w:instrText>
      </w:r>
      <w:r w:rsidRPr="0051487C">
        <w:rPr>
          <w:sz w:val="22"/>
          <w:szCs w:val="22"/>
        </w:rPr>
        <w:fldChar w:fldCharType="separate"/>
      </w:r>
      <w:r w:rsidRPr="0051487C">
        <w:rPr>
          <w:noProof/>
          <w:sz w:val="22"/>
          <w:szCs w:val="22"/>
        </w:rPr>
        <w:t>(Mason, 2011)</w:t>
      </w:r>
      <w:r w:rsidRPr="0051487C">
        <w:rPr>
          <w:sz w:val="22"/>
          <w:szCs w:val="22"/>
        </w:rPr>
        <w:fldChar w:fldCharType="end"/>
      </w:r>
      <w:r w:rsidRPr="0051487C">
        <w:rPr>
          <w:sz w:val="22"/>
          <w:szCs w:val="22"/>
        </w:rPr>
        <w:t xml:space="preserve"> where they can usually remember the same situation from their own experience. In contrast to more experienced teachers who can rely on their own teaching experience to understand students' thinking </w:t>
      </w:r>
      <w:r w:rsidRPr="0051487C">
        <w:rPr>
          <w:sz w:val="22"/>
          <w:szCs w:val="22"/>
        </w:rPr>
        <w:fldChar w:fldCharType="begin" w:fldLock="1"/>
      </w:r>
      <w:r w:rsidRPr="0051487C">
        <w:rPr>
          <w:sz w:val="22"/>
          <w:szCs w:val="22"/>
        </w:rPr>
        <w:instrText>ADDIN CSL_CITATION { "citationItems" : [ { "id" : "ITEM-1", "itemData" : { "DOI" : "10.12973/ejmste/78241", "ISSN" : "1305-8215", "author" : [ { "dropping-particle" : "", "family" : "Zhu", "given" : "Yan", "non-dropping-particle" : "", "parse-names" : false, "suffix" : "" }, { "dropping-particle" : "", "family" : "Yu", "given" : "Wenhui", "non-dropping-particle" : "", "parse-names" : false, "suffix" : "" }, { "dropping-particle" : "", "family" : "Cai", "given" : "Jinfa", "non-dropping-particle" : "", "parse-names" : false, "suffix" : "" } ], "container-title" : "Eurasia Journal of Mathematics, Science and Technology Education", "id" : "ITEM-1", "issue" : "1", "issued" : { "date-parts" : [ [ "2018" ] ] }, "page" : "213-224", "title" : "Understanding students\u2019 mathematical thinking for effective teaching: A comparison between expert and nonexpert Chinese elementary mathematics teachers", "type" : "article-journal", "volume" : "14" }, "uris" : [ "http://www.mendeley.com/documents/?uuid=8d736ff4-1b1d-4b21-9011-080a3b66874c" ] } ], "mendeley" : { "formattedCitation" : "(Zhu, Yu, &amp; Cai, 2018)", "plainTextFormattedCitation" : "(Zhu, Yu, &amp; Cai, 2018)", "previouslyFormattedCitation" : "(Zhu, Yu, &amp; Cai, 2018)" }, "properties" : {  }, "schema" : "https://github.com/citation-style-language/schema/raw/master/csl-citation.json" }</w:instrText>
      </w:r>
      <w:r w:rsidRPr="0051487C">
        <w:rPr>
          <w:sz w:val="22"/>
          <w:szCs w:val="22"/>
        </w:rPr>
        <w:fldChar w:fldCharType="separate"/>
      </w:r>
      <w:r w:rsidRPr="0051487C">
        <w:rPr>
          <w:noProof/>
          <w:sz w:val="22"/>
          <w:szCs w:val="22"/>
        </w:rPr>
        <w:t xml:space="preserve">(Zhu, Yu, &amp; </w:t>
      </w:r>
      <w:r w:rsidRPr="0051487C">
        <w:rPr>
          <w:noProof/>
          <w:sz w:val="22"/>
          <w:szCs w:val="22"/>
        </w:rPr>
        <w:lastRenderedPageBreak/>
        <w:t>Cai, 2018)</w:t>
      </w:r>
      <w:r w:rsidRPr="0051487C">
        <w:rPr>
          <w:sz w:val="22"/>
          <w:szCs w:val="22"/>
        </w:rPr>
        <w:fldChar w:fldCharType="end"/>
      </w:r>
      <w:r w:rsidRPr="0051487C">
        <w:rPr>
          <w:sz w:val="22"/>
          <w:szCs w:val="22"/>
        </w:rPr>
        <w:t xml:space="preserve">, prospective teachers rely solely on their knowledge and learning experience. Student B's answers immediately use reasoning without writing down what information is known and asked. Student B uses comparison reasoning worth 12/15 × 120 = 96. Students' answers end at 96 results without writing conclusions. For the work of student B, all subjects misinterpreted the students' strategies. They suspect that students only carry out operations on known information, namely 120/15 × 120 = 96. Even though they were aware of errors or irregularities that 120 divided by 15 were 8 instead of 0.8 but they were not aware of the actual operation performed by student B. Prospective teachers did not recognize the opacity of the students when they used unfamiliar algorithms. They experience challenges in interpreting student understanding or identifying key components of understanding that require attention in line with </w:t>
      </w:r>
      <w:r w:rsidRPr="0051487C">
        <w:rPr>
          <w:sz w:val="22"/>
          <w:szCs w:val="22"/>
        </w:rPr>
        <w:fldChar w:fldCharType="begin" w:fldLock="1"/>
      </w:r>
      <w:r w:rsidRPr="0051487C">
        <w:rPr>
          <w:sz w:val="22"/>
          <w:szCs w:val="22"/>
        </w:rPr>
        <w:instrText>ADDIN CSL_CITATION { "citationItems" : [ { "id" : "ITEM-1", "itemData" : { "DOI" : "10.1016/j.tate.2012.04.005", "ISBN" : "0742-051X", "ISSN" : "0742051X", "PMID" : "20855549", "abstract" : "This study investigated how teacher education assignments can be designed to support beginning teachers in learning to do the work of teaching. We examined beginners' formative assessment practices-in particular, their eliciting and interpreting of students' mathematical thinking-in the context of an elementary mathematics methods assignment, and the ways in which the scaffolds provided shaped their practice. We found that the scaffolds differentially supported their practice and suggest strategic improvement of the focus and organization of different types of scaffolds. Findings from the study contribute to the conceptualization and design of scaffolds for practice-based learning opportunities in teacher education. \u00a9 2012 Elsevier Ltd.", "author" : [ { "dropping-particle" : "", "family" : "Sleep", "given" : "Laurie", "non-dropping-particle" : "", "parse-names" : false, "suffix" : "" }, { "dropping-particle" : "", "family" : "Boerst", "given" : "Timothy A.", "non-dropping-particle" : "", "parse-names" : false, "suffix" : "" } ], "container-title" : "Teaching and Teacher Education", "id" : "ITEM-1", "issue" : "7", "issued" : { "date-parts" : [ [ "2012" ] ] }, "page" : "1038-1048", "title" : "Preparing beginning teachers to elicit and interpret students' mathematical thinking", "type" : "article-journal", "volume" : "28" }, "uris" : [ "http://www.mendeley.com/documents/?uuid=c785e247-a8d1-3e3e-9aa3-45c42a29a1e2" ] } ], "mendeley" : { "formattedCitation" : "(Sleep &amp; Boerst, 2012)", "plainTextFormattedCitation" : "(Sleep &amp; Boerst, 2012)", "previouslyFormattedCitation" : "(Sleep &amp; Boerst, 2012)" }, "properties" : {  }, "schema" : "https://github.com/citation-style-language/schema/raw/master/csl-citation.json" }</w:instrText>
      </w:r>
      <w:r w:rsidRPr="0051487C">
        <w:rPr>
          <w:sz w:val="22"/>
          <w:szCs w:val="22"/>
        </w:rPr>
        <w:fldChar w:fldCharType="separate"/>
      </w:r>
      <w:r w:rsidRPr="0051487C">
        <w:rPr>
          <w:noProof/>
          <w:sz w:val="22"/>
          <w:szCs w:val="22"/>
        </w:rPr>
        <w:t>(Sleep &amp; Boerst, 2012)</w:t>
      </w:r>
      <w:r w:rsidRPr="0051487C">
        <w:rPr>
          <w:sz w:val="22"/>
          <w:szCs w:val="22"/>
        </w:rPr>
        <w:fldChar w:fldCharType="end"/>
      </w:r>
      <w:r w:rsidRPr="0051487C">
        <w:rPr>
          <w:sz w:val="22"/>
          <w:szCs w:val="22"/>
        </w:rPr>
        <w:t>.</w:t>
      </w:r>
    </w:p>
    <w:p w:rsidR="00CC3C18" w:rsidRPr="0051487C" w:rsidRDefault="0051487C" w:rsidP="0051487C">
      <w:pPr>
        <w:pStyle w:val="Body"/>
      </w:pPr>
      <w:r w:rsidRPr="0051487C">
        <w:rPr>
          <w:sz w:val="22"/>
          <w:szCs w:val="22"/>
        </w:rPr>
        <w:t>Students C and D solve the problems by writing completion steps in detail. The difference is, student C completes using a direct proportion while student D usesinversedproportion. For the work of students C and D, prospective teachers pay attention to the writing of operations in detail including student errors in using a direct proportion (student C) and the use of variable x which is used for 2 meanings (student D). Beyond that, attention is more to the stages of problem solving in the form of story problems such as writing down information that is known, what is as</w:t>
      </w:r>
      <w:r>
        <w:rPr>
          <w:sz w:val="22"/>
          <w:szCs w:val="22"/>
        </w:rPr>
        <w:t xml:space="preserve">ked, the process of completion, and writing conclusions. </w:t>
      </w:r>
      <w:r w:rsidRPr="0051487C">
        <w:rPr>
          <w:sz w:val="22"/>
          <w:szCs w:val="22"/>
        </w:rPr>
        <w:t xml:space="preserve">Interpretation of prospective teachers towards students' mathematical understanding tends to focus on the sequence of operations performed and the problem solving process. They believe that if students solve problems by carrying out problem solving steps they understand the problem. The problem solving step in question refers to the problem solving phase </w:t>
      </w:r>
      <w:r w:rsidRPr="0051487C">
        <w:rPr>
          <w:sz w:val="22"/>
          <w:szCs w:val="22"/>
        </w:rPr>
        <w:fldChar w:fldCharType="begin" w:fldLock="1"/>
      </w:r>
      <w:r w:rsidRPr="0051487C">
        <w:rPr>
          <w:sz w:val="22"/>
          <w:szCs w:val="22"/>
        </w:rPr>
        <w:instrText>ADDIN CSL_CITATION { "citationItems" : [ { "id" : "ITEM-1", "itemData" : { "abstract" : "Perennial bestseller by eminent mathematician G. Polya, How to Solve It will show anyone in any field how to think straight. In lucid and appealing prose, Polya reveals how the mathematical method of demonstrating a proof or finding an unknown can be of help in attacking any problem that can be \"reasoned\" out-from building a bridge to winning a game of anagrams. Generations of readers have relished Polya's deft-indeed, brilliant-instructions on stripping away irrelevancies and going straight to the heart of the problem. In this best-selling classic, George P\u00f3lya revealed how the mathematical method of demonstrating a proof or finding an unknown can be of help in attacking any problem that can be \"reasoned\" out-from building a bridge to winning a game of anagrams. Generations of readers have relished P\u00f3lya's deft instructions on stripping away irrelevancies and going straight to the heart of a problem. How to Solve It popularized heuristics, the art and science of discovery and invention. It has been in print continuously since 1945 and has been translated into twenty-three different languages. P\u00f3lya was one of the most influential mathematicians of the twentieth century. He made important contributions to a great variety of mathematical research: from complex analysis to mathematical physics, number theory, probability, geometry, astronomy, and combinatorics. He was also an extraordinary teacher-he taught until he was ninety-and maintained a strong interest in pedagogical matters throughout his long career. In addition to How to Solve It, he published a two-volume work on the topic of problem solving, Mathematics of Plausible Reasoning, also with Princeton. P\u00f3lya is one of the most frequently quoted mathematicians, and the following statements from How to Solve It make clear why: \"My method to overcome a difficulty is to go around it.\" \"Geometry is the science of correct reasoning on incorrect figures.\" \"In order to solve this differential equation you look at it till a solution occurs to you.\"", "author" : [ { "dropping-particle" : "", "family" : "Polya", "given" : "George", "non-dropping-particle" : "", "parse-names" : false, "suffix" : "" } ], "id" : "ITEM-1", "issued" : { "date-parts" : [ [ "1945" ] ] }, "number-of-pages" : "1-242", "publisher" : "Princeton University Press", "publisher-place" : "New Jersey", "title" : "How To Solve It", "type" : "book" }, "uris" : [ "http://www.mendeley.com/documents/?uuid=6d6c8a1c-bcf1-485b-8154-488375315b4d" ] } ], "mendeley" : { "formattedCitation" : "(Polya, 1945)", "plainTextFormattedCitation" : "(Polya, 1945)", "previouslyFormattedCitation" : "(Polya, 1945)" }, "properties" : {  }, "schema" : "https://github.com/citation-style-language/schema/raw/master/csl-citation.json" }</w:instrText>
      </w:r>
      <w:r w:rsidRPr="0051487C">
        <w:rPr>
          <w:sz w:val="22"/>
          <w:szCs w:val="22"/>
        </w:rPr>
        <w:fldChar w:fldCharType="separate"/>
      </w:r>
      <w:r w:rsidRPr="0051487C">
        <w:rPr>
          <w:noProof/>
          <w:sz w:val="22"/>
          <w:szCs w:val="22"/>
        </w:rPr>
        <w:t>(Polya, 1945)</w:t>
      </w:r>
      <w:r w:rsidRPr="0051487C">
        <w:rPr>
          <w:sz w:val="22"/>
          <w:szCs w:val="22"/>
        </w:rPr>
        <w:fldChar w:fldCharType="end"/>
      </w:r>
      <w:r w:rsidRPr="0051487C">
        <w:rPr>
          <w:sz w:val="22"/>
          <w:szCs w:val="22"/>
        </w:rPr>
        <w:t xml:space="preserve">. The results of this study indicate that prospective teachers have similar interpretative characteristics. Interpreting of students’ mathematical thinking are key teaching tasks in which teachers must generate hypotheses about how students’ mathematical thinking could be developed </w:t>
      </w:r>
      <w:r w:rsidRPr="0051487C">
        <w:rPr>
          <w:sz w:val="22"/>
          <w:szCs w:val="22"/>
        </w:rPr>
        <w:fldChar w:fldCharType="begin" w:fldLock="1"/>
      </w:r>
      <w:r w:rsidR="00B44C71">
        <w:rPr>
          <w:sz w:val="22"/>
          <w:szCs w:val="22"/>
        </w:rPr>
        <w:instrText>ADDIN CSL_CITATION { "citationItems" : [ { "id" : "ITEM-1", "itemData" : { "DOI" : "10.1007/s10857-011-9181-0", "ISBN" : "1386-4416", "ISSN" : "13864416", "abstract" : "In order to evaluate the effectiveness of an experimental elementary mathematics field experience course, we have designed a new assessment instrument. These video-based prediction assessments engage prospective teachers in a video analysis of a child solving mathematical tasks. The prospective teachers build a model of that child's mathematics and then use that model to predict how the child will respond to a subsequent task. In this paper, we share data concerning the evolution and effectiveness of the instrument. Results from implementation indicate moderate to high degrees of inter-rater reliability in using the rubric to assess prospective teachers' models and predictions. They also indicate strong correlation between participation in the experimental course and prospective teachers' performances on the video-based prediction assessments. Such findings suggest that prediction assessments effectively evaluate the pedagogical content knowledge that we are seeking to foster among the prospective teachers. [ABSTRACT FROM AUTHOR]", "author" : [ { "dropping-particle" : "", "family" : "Norton", "given" : "Anderson", "non-dropping-particle" : "", "parse-names" : false, "suffix" : "" }, { "dropping-particle" : "", "family" : "McCloskey", "given" : "Andrea", "non-dropping-particle" : "", "parse-names" : false, "suffix" : "" }, { "dropping-particle" : "", "family" : "Hudson", "given" : "Rick A.", "non-dropping-particle" : "", "parse-names" : false, "suffix" : "" } ], "container-title" : "Journal of Mathematics Teacher Education", "id" : "ITEM-1", "issue" : "4", "issued" : { "date-parts" : [ [ "2011" ] ] }, "page" : "305-325", "title" : "Prediction assessments: Using video-based predictions to assess prospective teachers' knowledge of students' mathematical thinking", "type" : "article-journal", "volume" : "14" }, "uris" : [ "http://www.mendeley.com/documents/?uuid=4d9e32dc-b90e-46c2-bcc9-9d5191983196" ] }, { "id" : "ITEM-2", "itemData" : { "DOI" : "10.1007/s11858-012-0425-y", "ISBN" : "1863-9690, 1863-9704", "ISSN" : "18639704", "abstract" : "The goal of this research is to characterize prospective mathematics teachers\u2019 development of profes- sional noticing of students\u2019 mathematical thinking in on-line contexts. Specifically, we are interested in how the participation in on-line discussions, when prospective teachers solve specific tasks, supports the development of professional noticing of students\u2019 mathematical thinking. Findings show that an aspect in which the on-line discus- sions, as an example of asynchronous collaborative com- munication interfaces, support this development is related to the role of writing; participating in an on-line discussion plays a significant role since the final written text is func- tional as regards the activity of interpreting students\u2019 mathematical thinking collaboratively.", "author" : [ { "dropping-particle" : "", "family" : "Fern\u00e1ndez", "given" : "Ceneida", "non-dropping-particle" : "", "parse-names" : false, "suffix" : "" }, { "dropping-particle" : "", "family" : "Llinares", "given" : "Salvador", "non-dropping-particle" : "", "parse-names" : false, "suffix" : "" }, { "dropping-particle" : "", "family" : "Valls", "given" : "Julia", "non-dropping-particle" : "", "parse-names" : false, "suffix" : "" } ], "container-title" : "ZDM - International Journal on Mathematics Education", "id" : "ITEM-2", "issue" : "6", "issued" : { "date-parts" : [ [ "2012" ] ] }, "page" : "747-759", "title" : "Learning to notice students\u2019 mathematical thinking through on-line discussions", "type" : "article-journal", "volume" : "44" }, "uris" : [ "http://www.mendeley.com/documents/?uuid=bd47082e-6c1d-4e1c-8acb-05a81131b2fe" ] } ], "mendeley" : { "formattedCitation" : "(Fern\u00e1ndez, Llinares, &amp; Valls, 2012; Norton, McCloskey, &amp; Hudson, 2011)", "plainTextFormattedCitation" : "(Fern\u00e1ndez, Llinares, &amp; Valls, 2012; Norton, McCloskey, &amp; Hudson, 2011)", "previouslyFormattedCitation" : "(Fern\u00e1ndez, Llinares, &amp; Valls, 2012; Norton, McCloskey, &amp; Hudson, 2011)" }, "properties" : {  }, "schema" : "https://github.com/citation-style-language/schema/raw/master/csl-citation.json" }</w:instrText>
      </w:r>
      <w:r w:rsidRPr="0051487C">
        <w:rPr>
          <w:sz w:val="22"/>
          <w:szCs w:val="22"/>
        </w:rPr>
        <w:fldChar w:fldCharType="separate"/>
      </w:r>
      <w:r w:rsidRPr="0051487C">
        <w:rPr>
          <w:noProof/>
          <w:sz w:val="22"/>
          <w:szCs w:val="22"/>
        </w:rPr>
        <w:t>(Fernández, Llinares, &amp; Valls, 2012; Norton, McCloskey, &amp; Hudson, 2011)</w:t>
      </w:r>
      <w:r w:rsidRPr="0051487C">
        <w:rPr>
          <w:sz w:val="22"/>
          <w:szCs w:val="22"/>
        </w:rPr>
        <w:fldChar w:fldCharType="end"/>
      </w:r>
      <w:r w:rsidRPr="0051487C">
        <w:rPr>
          <w:sz w:val="22"/>
          <w:szCs w:val="22"/>
        </w:rPr>
        <w:t>.</w:t>
      </w:r>
    </w:p>
    <w:p w:rsidR="00B34929" w:rsidRPr="007E0220" w:rsidRDefault="00B34929" w:rsidP="008062F3">
      <w:pPr>
        <w:tabs>
          <w:tab w:val="left" w:pos="567"/>
        </w:tabs>
        <w:spacing w:after="0" w:line="360" w:lineRule="auto"/>
        <w:jc w:val="both"/>
        <w:rPr>
          <w:rFonts w:ascii="Times New Roman" w:hAnsi="Times New Roman" w:cs="Times New Roman"/>
        </w:rPr>
      </w:pPr>
    </w:p>
    <w:p w:rsidR="00250A2A" w:rsidRPr="007E0220" w:rsidRDefault="00250A2A" w:rsidP="008062F3">
      <w:pPr>
        <w:tabs>
          <w:tab w:val="left" w:pos="1025"/>
        </w:tabs>
        <w:spacing w:after="0" w:line="360" w:lineRule="auto"/>
        <w:jc w:val="both"/>
        <w:rPr>
          <w:rFonts w:ascii="Times New Roman" w:hAnsi="Times New Roman" w:cs="Times New Roman"/>
          <w:b/>
        </w:rPr>
      </w:pPr>
      <w:r w:rsidRPr="007E0220">
        <w:rPr>
          <w:rFonts w:ascii="Times New Roman" w:hAnsi="Times New Roman" w:cs="Times New Roman"/>
          <w:b/>
        </w:rPr>
        <w:t>CONCLU</w:t>
      </w:r>
      <w:r w:rsidR="00940B51" w:rsidRPr="007E0220">
        <w:rPr>
          <w:rFonts w:ascii="Times New Roman" w:hAnsi="Times New Roman" w:cs="Times New Roman"/>
          <w:b/>
        </w:rPr>
        <w:t>S</w:t>
      </w:r>
      <w:r w:rsidRPr="007E0220">
        <w:rPr>
          <w:rFonts w:ascii="Times New Roman" w:hAnsi="Times New Roman" w:cs="Times New Roman"/>
          <w:b/>
        </w:rPr>
        <w:t>ION</w:t>
      </w:r>
    </w:p>
    <w:p w:rsidR="007217AE" w:rsidRDefault="00A12697" w:rsidP="007217AE">
      <w:pPr>
        <w:pStyle w:val="Body"/>
        <w:rPr>
          <w:sz w:val="22"/>
          <w:szCs w:val="22"/>
        </w:rPr>
      </w:pPr>
      <w:r w:rsidRPr="007A7B95">
        <w:rPr>
          <w:sz w:val="22"/>
          <w:szCs w:val="22"/>
        </w:rPr>
        <w:t>The goal of this study was to gain the description of prospective teacher used model of building process in interpretation students' mathematical thinking. As suggested by literature review, the existing literature in interpreting students’ mathematical thinking is relatively sparse. In trying to better unders</w:t>
      </w:r>
      <w:r w:rsidR="00B432FA">
        <w:rPr>
          <w:sz w:val="22"/>
          <w:szCs w:val="22"/>
        </w:rPr>
        <w:t>t</w:t>
      </w:r>
      <w:r w:rsidRPr="007A7B95">
        <w:rPr>
          <w:sz w:val="22"/>
          <w:szCs w:val="22"/>
        </w:rPr>
        <w:t xml:space="preserve">and the model prospective teacher use in interpreting students’ mathematical thinking, we find that comparing model-building process proposed by </w:t>
      </w:r>
      <w:r w:rsidR="007A7B95" w:rsidRPr="007A7B95">
        <w:rPr>
          <w:sz w:val="22"/>
          <w:szCs w:val="22"/>
        </w:rPr>
        <w:fldChar w:fldCharType="begin" w:fldLock="1"/>
      </w:r>
      <w:r w:rsidR="007A7B95" w:rsidRPr="007A7B95">
        <w:rPr>
          <w:sz w:val="22"/>
          <w:szCs w:val="22"/>
        </w:rPr>
        <w:instrText>ADDIN CSL_CITATION { "citationItems" : [ { "id" : "ITEM-1", "itemData" : { "DOI" : "10.5951/jresematheduc.42.1.0039", "ISBN" : "0021-8251", "ISSN" : "00218251", "abstract" : "This study investigated the processes used by prospective mathematics teachers as they examined middle-school students\u2019 work solving statistical problems using a computer software program. Students\u2019 work on the tasks was captured in a videocase used by prospective teachers enrolled in a mathematics education course focused on teaching secondary mathematics with technology. The researchers developed a model for characterizing prospective teachers\u2019 attention to students\u2019 work and actions and interpretations of students\u2019 mathematical thinking. The model facilitated the identi- fication of four categories: describing, comparing, inferring, and restructuring. Ways in which the model may be used by other researchers and implications for the design of pedagogical tasks for prospective teachers are discussed.", "author" : [ { "dropping-particle" : "", "family" : "Wilson", "given" : "P. Holt", "non-dropping-particle" : "", "parse-names" : false, "suffix" : "" }, { "dropping-particle" : "", "family" : "Lee", "given" : "Hollylynne Stohl", "non-dropping-particle" : "", "parse-names" : false, "suffix" : "" }, { "dropping-particle" : "", "family" : "Hollebrands", "given" : "Karen F.", "non-dropping-particle" : "", "parse-names" : false, "suffix" : "" } ], "container-title" : "Journal for Research in Mathematics Education", "id" : "ITEM-1", "issue" : "1", "issued" : { "date-parts" : [ [ "2011" ] ] }, "page" : "39-64", "title" : "Understanding prospective mathematics teachers' processes for making sense of students' work with technology", "type" : "article-journal", "volume" : "42" }, "uris" : [ "http://www.mendeley.com/documents/?uuid=862337c7-8621-41a3-8676-47903b40430e" ] } ], "mendeley" : { "formattedCitation" : "(P. H. Wilson et al., 2011)", "manualFormatting" : "Wilson et al. (2011)", "plainTextFormattedCitation" : "(P. H. Wilson et al., 2011)", "previouslyFormattedCitation" : "(P. H. Wilson et al., 2011)" }, "properties" : {  }, "schema" : "https://github.com/citation-style-language/schema/raw/master/csl-citation.json" }</w:instrText>
      </w:r>
      <w:r w:rsidR="007A7B95" w:rsidRPr="007A7B95">
        <w:rPr>
          <w:sz w:val="22"/>
          <w:szCs w:val="22"/>
        </w:rPr>
        <w:fldChar w:fldCharType="separate"/>
      </w:r>
      <w:r w:rsidR="007A7B95" w:rsidRPr="007A7B95">
        <w:rPr>
          <w:sz w:val="22"/>
          <w:szCs w:val="22"/>
        </w:rPr>
        <w:t>Wilson et al. (2011)</w:t>
      </w:r>
      <w:r w:rsidR="007A7B95" w:rsidRPr="007A7B95">
        <w:rPr>
          <w:sz w:val="22"/>
          <w:szCs w:val="22"/>
        </w:rPr>
        <w:fldChar w:fldCharType="end"/>
      </w:r>
      <w:r w:rsidR="007A7B95" w:rsidRPr="007A7B95">
        <w:rPr>
          <w:sz w:val="22"/>
          <w:szCs w:val="22"/>
        </w:rPr>
        <w:t xml:space="preserve"> is still applicable today.</w:t>
      </w:r>
      <w:r w:rsidR="007A7B95">
        <w:rPr>
          <w:sz w:val="22"/>
          <w:szCs w:val="22"/>
        </w:rPr>
        <w:t xml:space="preserve"> </w:t>
      </w:r>
      <w:r w:rsidR="007217AE" w:rsidRPr="007217AE">
        <w:rPr>
          <w:sz w:val="22"/>
          <w:szCs w:val="22"/>
        </w:rPr>
        <w:t>This study has attempted to distinguish detailed comparison models based on representations that are used as a basis for prospective teachers to provide interpretations of students' mathematical thinking</w:t>
      </w:r>
      <w:r w:rsidR="007217AE">
        <w:rPr>
          <w:sz w:val="22"/>
          <w:szCs w:val="22"/>
        </w:rPr>
        <w:t>.</w:t>
      </w:r>
    </w:p>
    <w:p w:rsidR="007217AE" w:rsidRDefault="007217AE" w:rsidP="007217AE">
      <w:pPr>
        <w:pStyle w:val="Body"/>
        <w:rPr>
          <w:sz w:val="22"/>
          <w:szCs w:val="22"/>
        </w:rPr>
      </w:pPr>
      <w:r>
        <w:rPr>
          <w:sz w:val="22"/>
          <w:szCs w:val="22"/>
        </w:rPr>
        <w:t xml:space="preserve">We find that comparing model-building process in interpreting students’ mathematical thinking can be distinguished as two type ie. comparing work and comparing knowledge. </w:t>
      </w:r>
      <w:r w:rsidR="00EE4A00">
        <w:rPr>
          <w:sz w:val="22"/>
          <w:szCs w:val="22"/>
        </w:rPr>
        <w:t>Th</w:t>
      </w:r>
      <w:r w:rsidR="00EE4A00" w:rsidRPr="00EE4A00">
        <w:rPr>
          <w:sz w:val="22"/>
          <w:szCs w:val="22"/>
        </w:rPr>
        <w:t xml:space="preserve">e distinction between these two types of </w:t>
      </w:r>
      <w:r w:rsidR="00EE4A00">
        <w:rPr>
          <w:sz w:val="22"/>
          <w:szCs w:val="22"/>
        </w:rPr>
        <w:t>comparing model</w:t>
      </w:r>
      <w:r w:rsidR="00EE4A00" w:rsidRPr="00EE4A00">
        <w:rPr>
          <w:sz w:val="22"/>
          <w:szCs w:val="22"/>
        </w:rPr>
        <w:t xml:space="preserve"> is based on the </w:t>
      </w:r>
      <w:r w:rsidR="00EE4A00">
        <w:rPr>
          <w:sz w:val="22"/>
          <w:szCs w:val="22"/>
        </w:rPr>
        <w:t xml:space="preserve">prospective </w:t>
      </w:r>
      <w:r w:rsidR="00EE4A00" w:rsidRPr="00EE4A00">
        <w:rPr>
          <w:sz w:val="22"/>
          <w:szCs w:val="22"/>
        </w:rPr>
        <w:t xml:space="preserve">teacher's </w:t>
      </w:r>
      <w:r w:rsidR="00EE4A00">
        <w:rPr>
          <w:sz w:val="22"/>
          <w:szCs w:val="22"/>
        </w:rPr>
        <w:t>implicit</w:t>
      </w:r>
      <w:r w:rsidR="00EE4A00" w:rsidRPr="00EE4A00">
        <w:rPr>
          <w:sz w:val="22"/>
          <w:szCs w:val="22"/>
        </w:rPr>
        <w:t xml:space="preserve"> or explicit </w:t>
      </w:r>
      <w:r w:rsidR="00EE4A00" w:rsidRPr="00EE4A00">
        <w:rPr>
          <w:sz w:val="22"/>
          <w:szCs w:val="22"/>
        </w:rPr>
        <w:lastRenderedPageBreak/>
        <w:t>attention to the student's work and the analysis performed.</w:t>
      </w:r>
      <w:r w:rsidR="00EE4A00">
        <w:rPr>
          <w:sz w:val="22"/>
          <w:szCs w:val="22"/>
        </w:rPr>
        <w:t xml:space="preserve"> </w:t>
      </w:r>
      <w:r w:rsidR="00EE4A00" w:rsidRPr="00EE4A00">
        <w:rPr>
          <w:sz w:val="22"/>
          <w:szCs w:val="22"/>
        </w:rPr>
        <w:t>Comparing work does an analysis by considering the external representation rubric by comparing the work of students with the results of their own work in solving the same problem</w:t>
      </w:r>
      <w:r w:rsidR="00EE4A00">
        <w:rPr>
          <w:sz w:val="22"/>
          <w:szCs w:val="22"/>
        </w:rPr>
        <w:t xml:space="preserve">. </w:t>
      </w:r>
      <w:r w:rsidR="00EE4A00" w:rsidRPr="00EE4A00">
        <w:rPr>
          <w:sz w:val="22"/>
          <w:szCs w:val="22"/>
        </w:rPr>
        <w:t>Whereas Comparing knowledge analyzes by considering the internal representation rubric by comparing students' work with the knowledge they have about the problem</w:t>
      </w:r>
      <w:r w:rsidR="00EE4A00">
        <w:rPr>
          <w:sz w:val="22"/>
          <w:szCs w:val="22"/>
        </w:rPr>
        <w:t>.</w:t>
      </w:r>
    </w:p>
    <w:p w:rsidR="0051487C" w:rsidRPr="007217AE" w:rsidRDefault="007217AE" w:rsidP="007217AE">
      <w:pPr>
        <w:pStyle w:val="Body"/>
        <w:rPr>
          <w:sz w:val="22"/>
          <w:szCs w:val="22"/>
        </w:rPr>
      </w:pPr>
      <w:r>
        <w:rPr>
          <w:sz w:val="22"/>
          <w:szCs w:val="22"/>
        </w:rPr>
        <w:t>P</w:t>
      </w:r>
      <w:r w:rsidR="0051487C" w:rsidRPr="007217AE">
        <w:rPr>
          <w:sz w:val="22"/>
          <w:szCs w:val="22"/>
        </w:rPr>
        <w:t xml:space="preserve">rospective teachers use the rubric as a guideline to determine their interpretation of students' mathematical thinking. The rubric is different for both groups of prospective teachers. Comparing work groups use the external representation rubric while the comparing knowledge group uses internal repetition rubrics in the analysis to obtain interpretations of students' mathematical thinking. In the comparing work, </w:t>
      </w:r>
      <w:r w:rsidR="000E3571">
        <w:rPr>
          <w:sz w:val="22"/>
          <w:szCs w:val="22"/>
        </w:rPr>
        <w:t>p</w:t>
      </w:r>
      <w:r w:rsidR="000E3571" w:rsidRPr="007217AE">
        <w:rPr>
          <w:sz w:val="22"/>
          <w:szCs w:val="22"/>
        </w:rPr>
        <w:t xml:space="preserve">rospective teachers </w:t>
      </w:r>
      <w:r w:rsidR="0051487C" w:rsidRPr="007217AE">
        <w:rPr>
          <w:sz w:val="22"/>
          <w:szCs w:val="22"/>
        </w:rPr>
        <w:t>completed BCP in written</w:t>
      </w:r>
      <w:r w:rsidR="000E3571">
        <w:rPr>
          <w:sz w:val="22"/>
          <w:szCs w:val="22"/>
        </w:rPr>
        <w:t>. W</w:t>
      </w:r>
      <w:r w:rsidR="0051487C" w:rsidRPr="007217AE">
        <w:rPr>
          <w:sz w:val="22"/>
          <w:szCs w:val="22"/>
        </w:rPr>
        <w:t xml:space="preserve">hile </w:t>
      </w:r>
      <w:r w:rsidR="000E3571">
        <w:rPr>
          <w:sz w:val="22"/>
          <w:szCs w:val="22"/>
        </w:rPr>
        <w:t>in the comparing knowledge, pr</w:t>
      </w:r>
      <w:r w:rsidR="000E3571" w:rsidRPr="007217AE">
        <w:rPr>
          <w:sz w:val="22"/>
          <w:szCs w:val="22"/>
        </w:rPr>
        <w:t xml:space="preserve">ospective teachers </w:t>
      </w:r>
      <w:r w:rsidR="0051487C" w:rsidRPr="007217AE">
        <w:rPr>
          <w:sz w:val="22"/>
          <w:szCs w:val="22"/>
        </w:rPr>
        <w:t>did not. They used their  knowledge to analyze students’ strategies or students’ mathematical thinking but didn’t express it in writing. The characteristics of the interpretation of the two groups are relatively same, which emphasizes the concern about the operations performed or allegedly done by the students, students’ mistakes, and the assessment of students' understanding. Representation is the basis for determining the model of interpretation of prospective teachers. External representations are used by the compare works group, while internal representations are used by groups of comparing knowledge. The evidence of interpretations of prospective teachers can be used to assess the progress of mathematical understanding and harmonize learning in teacher education programs in a sustainable manner by supporting and developing effective learning.</w:t>
      </w:r>
    </w:p>
    <w:p w:rsidR="00454527" w:rsidRPr="007E0220" w:rsidRDefault="00454527" w:rsidP="0025283B">
      <w:pPr>
        <w:spacing w:after="0" w:line="360" w:lineRule="auto"/>
        <w:ind w:firstLine="720"/>
        <w:jc w:val="both"/>
        <w:rPr>
          <w:rFonts w:ascii="Times New Roman" w:hAnsi="Times New Roman" w:cs="Times New Roman"/>
          <w:noProof/>
        </w:rPr>
      </w:pPr>
    </w:p>
    <w:p w:rsidR="007E0220" w:rsidRPr="0051487C" w:rsidRDefault="0051487C" w:rsidP="008062F3">
      <w:pPr>
        <w:tabs>
          <w:tab w:val="left" w:pos="1025"/>
        </w:tabs>
        <w:spacing w:after="0" w:line="360" w:lineRule="auto"/>
        <w:jc w:val="both"/>
        <w:rPr>
          <w:rFonts w:ascii="Times New Roman" w:hAnsi="Times New Roman" w:cs="Times New Roman"/>
          <w:b/>
        </w:rPr>
      </w:pPr>
      <w:r>
        <w:rPr>
          <w:rFonts w:ascii="Times New Roman" w:hAnsi="Times New Roman" w:cs="Times New Roman"/>
          <w:b/>
        </w:rPr>
        <w:t>ACKNOWLEDGMENTS</w:t>
      </w:r>
    </w:p>
    <w:p w:rsidR="007E0220" w:rsidRDefault="00EE4A00" w:rsidP="00550AA8">
      <w:pPr>
        <w:pStyle w:val="Body"/>
        <w:rPr>
          <w:sz w:val="22"/>
          <w:szCs w:val="22"/>
        </w:rPr>
      </w:pPr>
      <w:r w:rsidRPr="00EE4A00">
        <w:rPr>
          <w:sz w:val="22"/>
          <w:szCs w:val="22"/>
        </w:rPr>
        <w:t xml:space="preserve">I would like to thank </w:t>
      </w:r>
      <w:r>
        <w:rPr>
          <w:sz w:val="22"/>
          <w:szCs w:val="22"/>
        </w:rPr>
        <w:t xml:space="preserve"> </w:t>
      </w:r>
      <w:r w:rsidR="00550AA8">
        <w:rPr>
          <w:sz w:val="22"/>
          <w:szCs w:val="22"/>
        </w:rPr>
        <w:t xml:space="preserve">Directorate </w:t>
      </w:r>
      <w:r w:rsidR="00550AA8" w:rsidRPr="0025283B">
        <w:rPr>
          <w:sz w:val="22"/>
          <w:szCs w:val="22"/>
        </w:rPr>
        <w:t>of Research and Community Service, Directorate General of Higher Education, The Ministry of Education and Culture</w:t>
      </w:r>
      <w:r w:rsidR="00550AA8">
        <w:rPr>
          <w:sz w:val="22"/>
          <w:szCs w:val="22"/>
        </w:rPr>
        <w:t xml:space="preserve"> for their support in funding this research. </w:t>
      </w:r>
    </w:p>
    <w:p w:rsidR="008062F3" w:rsidRPr="007E0220" w:rsidRDefault="008062F3" w:rsidP="008062F3">
      <w:pPr>
        <w:pStyle w:val="Body"/>
        <w:rPr>
          <w:sz w:val="22"/>
          <w:szCs w:val="22"/>
        </w:rPr>
      </w:pPr>
    </w:p>
    <w:p w:rsidR="007E0220" w:rsidRPr="0051487C" w:rsidRDefault="008062F3" w:rsidP="008062F3">
      <w:pPr>
        <w:tabs>
          <w:tab w:val="left" w:pos="1025"/>
        </w:tabs>
        <w:spacing w:after="0" w:line="360" w:lineRule="auto"/>
        <w:jc w:val="both"/>
        <w:rPr>
          <w:rFonts w:ascii="Times New Roman" w:hAnsi="Times New Roman" w:cs="Times New Roman"/>
          <w:b/>
        </w:rPr>
      </w:pPr>
      <w:r w:rsidRPr="008062F3">
        <w:rPr>
          <w:rFonts w:ascii="Times New Roman" w:hAnsi="Times New Roman" w:cs="Times New Roman"/>
          <w:b/>
        </w:rPr>
        <w:t>REFERENCES</w:t>
      </w:r>
    </w:p>
    <w:p w:rsidR="000E7FDD" w:rsidRDefault="009565CE" w:rsidP="000E7FDD">
      <w:pPr>
        <w:tabs>
          <w:tab w:val="left" w:pos="567"/>
        </w:tabs>
        <w:spacing w:after="0" w:line="360" w:lineRule="auto"/>
        <w:ind w:left="567" w:hanging="567"/>
        <w:rPr>
          <w:rFonts w:ascii="Times New Roman" w:hAnsi="Times New Roman" w:cs="Times New Roman"/>
          <w:noProof/>
          <w:szCs w:val="24"/>
        </w:rPr>
      </w:pPr>
      <w:r w:rsidRPr="009565CE">
        <w:rPr>
          <w:rFonts w:ascii="Times New Roman" w:eastAsiaTheme="minorHAnsi" w:hAnsi="Times New Roman" w:cs="Times New Roman"/>
        </w:rPr>
        <w:fldChar w:fldCharType="begin" w:fldLock="1"/>
      </w:r>
      <w:r w:rsidRPr="009565CE">
        <w:rPr>
          <w:rFonts w:ascii="Times New Roman" w:hAnsi="Times New Roman" w:cs="Times New Roman"/>
        </w:rPr>
        <w:instrText xml:space="preserve">ADDIN Mendeley Bibliography CSL_BIBLIOGRAPHY </w:instrText>
      </w:r>
      <w:r w:rsidRPr="009565CE">
        <w:rPr>
          <w:rFonts w:ascii="Times New Roman" w:eastAsiaTheme="minorHAnsi" w:hAnsi="Times New Roman" w:cs="Times New Roman"/>
        </w:rPr>
        <w:fldChar w:fldCharType="separate"/>
      </w:r>
      <w:r w:rsidR="007A7B95" w:rsidRPr="007A7B95">
        <w:rPr>
          <w:rFonts w:ascii="Times New Roman" w:hAnsi="Times New Roman" w:cs="Times New Roman"/>
          <w:noProof/>
          <w:szCs w:val="24"/>
        </w:rPr>
        <w:t xml:space="preserve">Brookhart, S. M. (2013). </w:t>
      </w:r>
      <w:r w:rsidR="007A7B95" w:rsidRPr="007A7B95">
        <w:rPr>
          <w:rFonts w:ascii="Times New Roman" w:hAnsi="Times New Roman" w:cs="Times New Roman"/>
          <w:i/>
          <w:iCs/>
          <w:noProof/>
          <w:szCs w:val="24"/>
        </w:rPr>
        <w:t>How to create and use rubrics for formative assessment and grading</w:t>
      </w:r>
      <w:r w:rsidR="007A7B95" w:rsidRPr="007A7B95">
        <w:rPr>
          <w:rFonts w:ascii="Times New Roman" w:hAnsi="Times New Roman" w:cs="Times New Roman"/>
          <w:noProof/>
          <w:szCs w:val="24"/>
        </w:rPr>
        <w:t>. Alexandria, VA: ASCD.</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Cobb, P., &amp; Steffe, L. P. (1983). The Constructivist Researcher as Teacher and Model Builder. </w:t>
      </w:r>
      <w:r w:rsidRPr="007A7B95">
        <w:rPr>
          <w:rFonts w:ascii="Times New Roman" w:hAnsi="Times New Roman" w:cs="Times New Roman"/>
          <w:i/>
          <w:iCs/>
          <w:noProof/>
          <w:szCs w:val="24"/>
        </w:rPr>
        <w:t>Journal for Research in Mathematics Education</w:t>
      </w:r>
      <w:r w:rsidRPr="007A7B95">
        <w:rPr>
          <w:rFonts w:ascii="Times New Roman" w:hAnsi="Times New Roman" w:cs="Times New Roman"/>
          <w:noProof/>
          <w:szCs w:val="24"/>
        </w:rPr>
        <w:t xml:space="preserve">, </w:t>
      </w:r>
      <w:r w:rsidRPr="007A7B95">
        <w:rPr>
          <w:rFonts w:ascii="Times New Roman" w:hAnsi="Times New Roman" w:cs="Times New Roman"/>
          <w:i/>
          <w:iCs/>
          <w:noProof/>
          <w:szCs w:val="24"/>
        </w:rPr>
        <w:t>14</w:t>
      </w:r>
      <w:r w:rsidRPr="007A7B95">
        <w:rPr>
          <w:rFonts w:ascii="Times New Roman" w:hAnsi="Times New Roman" w:cs="Times New Roman"/>
          <w:noProof/>
          <w:szCs w:val="24"/>
        </w:rPr>
        <w:t>(2), 83–94.</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Cuoco, A. A. (2001). </w:t>
      </w:r>
      <w:r w:rsidRPr="007A7B95">
        <w:rPr>
          <w:rFonts w:ascii="Times New Roman" w:hAnsi="Times New Roman" w:cs="Times New Roman"/>
          <w:i/>
          <w:iCs/>
          <w:noProof/>
          <w:szCs w:val="24"/>
        </w:rPr>
        <w:t>The Role of Representation in Schol Mathematics 2001 Yearbook</w:t>
      </w:r>
      <w:r w:rsidRPr="007A7B95">
        <w:rPr>
          <w:rFonts w:ascii="Times New Roman" w:hAnsi="Times New Roman" w:cs="Times New Roman"/>
          <w:noProof/>
          <w:szCs w:val="24"/>
        </w:rPr>
        <w:t>. Reston, VA: National Council of Teachers of Mathematics.</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Fernández, C., Llinares, S., &amp; Valls, J. (2012). Learning to notice students’ mathematical thinking through on-line discussions. </w:t>
      </w:r>
      <w:r w:rsidRPr="007A7B95">
        <w:rPr>
          <w:rFonts w:ascii="Times New Roman" w:hAnsi="Times New Roman" w:cs="Times New Roman"/>
          <w:i/>
          <w:iCs/>
          <w:noProof/>
          <w:szCs w:val="24"/>
        </w:rPr>
        <w:t>ZDM - International Journal on Mathematics Education</w:t>
      </w:r>
      <w:r w:rsidRPr="007A7B95">
        <w:rPr>
          <w:rFonts w:ascii="Times New Roman" w:hAnsi="Times New Roman" w:cs="Times New Roman"/>
          <w:noProof/>
          <w:szCs w:val="24"/>
        </w:rPr>
        <w:t xml:space="preserve">, </w:t>
      </w:r>
      <w:r w:rsidRPr="007A7B95">
        <w:rPr>
          <w:rFonts w:ascii="Times New Roman" w:hAnsi="Times New Roman" w:cs="Times New Roman"/>
          <w:i/>
          <w:iCs/>
          <w:noProof/>
          <w:szCs w:val="24"/>
        </w:rPr>
        <w:t>44</w:t>
      </w:r>
      <w:r w:rsidRPr="007A7B95">
        <w:rPr>
          <w:rFonts w:ascii="Times New Roman" w:hAnsi="Times New Roman" w:cs="Times New Roman"/>
          <w:noProof/>
          <w:szCs w:val="24"/>
        </w:rPr>
        <w:t>(6), 747–759. http://doi.org/10.1007/s11858-012-0425-y</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lastRenderedPageBreak/>
        <w:t xml:space="preserve">Jacobs, V. R., Lamb, L. L. C., &amp; Philipp, R. A. (2010). Professional Noticing of Children’s Mathematical Thinking. </w:t>
      </w:r>
      <w:r w:rsidRPr="007A7B95">
        <w:rPr>
          <w:rFonts w:ascii="Times New Roman" w:hAnsi="Times New Roman" w:cs="Times New Roman"/>
          <w:i/>
          <w:iCs/>
          <w:noProof/>
          <w:szCs w:val="24"/>
        </w:rPr>
        <w:t>Journal for Research in Mathematics Education Journal for Research in Mathematics Education</w:t>
      </w:r>
      <w:r w:rsidRPr="007A7B95">
        <w:rPr>
          <w:rFonts w:ascii="Times New Roman" w:hAnsi="Times New Roman" w:cs="Times New Roman"/>
          <w:noProof/>
          <w:szCs w:val="24"/>
        </w:rPr>
        <w:t xml:space="preserve">, </w:t>
      </w:r>
      <w:r w:rsidRPr="007A7B95">
        <w:rPr>
          <w:rFonts w:ascii="Times New Roman" w:hAnsi="Times New Roman" w:cs="Times New Roman"/>
          <w:i/>
          <w:iCs/>
          <w:noProof/>
          <w:szCs w:val="24"/>
        </w:rPr>
        <w:t>41</w:t>
      </w:r>
      <w:r w:rsidRPr="007A7B95">
        <w:rPr>
          <w:rFonts w:ascii="Times New Roman" w:hAnsi="Times New Roman" w:cs="Times New Roman"/>
          <w:noProof/>
          <w:szCs w:val="24"/>
        </w:rPr>
        <w:t>(2), 169–202. http://doi.org/10.2307/20720130</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Janvier, C., Girardon, C., &amp; Morand, J. (1993). Mathematical symbols and representations. In P. S. Wilson (Ed.), </w:t>
      </w:r>
      <w:r w:rsidRPr="007A7B95">
        <w:rPr>
          <w:rFonts w:ascii="Times New Roman" w:hAnsi="Times New Roman" w:cs="Times New Roman"/>
          <w:i/>
          <w:iCs/>
          <w:noProof/>
          <w:szCs w:val="24"/>
        </w:rPr>
        <w:t>Research ideas for the classroom: High school mathematics</w:t>
      </w:r>
      <w:r w:rsidRPr="007A7B95">
        <w:rPr>
          <w:rFonts w:ascii="Times New Roman" w:hAnsi="Times New Roman" w:cs="Times New Roman"/>
          <w:noProof/>
          <w:szCs w:val="24"/>
        </w:rPr>
        <w:t xml:space="preserve"> (p. 81). Reston, VA: NCTM.</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Mason, J. (2011). Noticing Roots and Branches. In M. G. Sherin, V. J. Jacobs, &amp; R. Phillip (Eds.), </w:t>
      </w:r>
      <w:r w:rsidRPr="007A7B95">
        <w:rPr>
          <w:rFonts w:ascii="Times New Roman" w:hAnsi="Times New Roman" w:cs="Times New Roman"/>
          <w:i/>
          <w:iCs/>
          <w:noProof/>
          <w:szCs w:val="24"/>
        </w:rPr>
        <w:t>Mathematics Teacher Noticing Seeing Through Teachers’ Eyes</w:t>
      </w:r>
      <w:r w:rsidRPr="007A7B95">
        <w:rPr>
          <w:rFonts w:ascii="Times New Roman" w:hAnsi="Times New Roman" w:cs="Times New Roman"/>
          <w:noProof/>
          <w:szCs w:val="24"/>
        </w:rPr>
        <w:t xml:space="preserve"> (pp. 35–50). New York: Routledge. http://doi.org/10.4324/9780203832714</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Norton, A., McCloskey, A., &amp; Hudson, R. A. (2011). Prediction assessments: Using video-based predictions to assess prospective teachers’ knowledge of students’ mathematical thinking. </w:t>
      </w:r>
      <w:r w:rsidRPr="007A7B95">
        <w:rPr>
          <w:rFonts w:ascii="Times New Roman" w:hAnsi="Times New Roman" w:cs="Times New Roman"/>
          <w:i/>
          <w:iCs/>
          <w:noProof/>
          <w:szCs w:val="24"/>
        </w:rPr>
        <w:t>Journal of Mathematics Teacher Education</w:t>
      </w:r>
      <w:r w:rsidRPr="007A7B95">
        <w:rPr>
          <w:rFonts w:ascii="Times New Roman" w:hAnsi="Times New Roman" w:cs="Times New Roman"/>
          <w:noProof/>
          <w:szCs w:val="24"/>
        </w:rPr>
        <w:t xml:space="preserve">, </w:t>
      </w:r>
      <w:r w:rsidRPr="007A7B95">
        <w:rPr>
          <w:rFonts w:ascii="Times New Roman" w:hAnsi="Times New Roman" w:cs="Times New Roman"/>
          <w:i/>
          <w:iCs/>
          <w:noProof/>
          <w:szCs w:val="24"/>
        </w:rPr>
        <w:t>14</w:t>
      </w:r>
      <w:r w:rsidRPr="007A7B95">
        <w:rPr>
          <w:rFonts w:ascii="Times New Roman" w:hAnsi="Times New Roman" w:cs="Times New Roman"/>
          <w:noProof/>
          <w:szCs w:val="24"/>
        </w:rPr>
        <w:t>(4), 305–325. http://doi.org/10.1007/s10857-011-9181-0</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Polya, G. (1945). </w:t>
      </w:r>
      <w:r w:rsidRPr="007A7B95">
        <w:rPr>
          <w:rFonts w:ascii="Times New Roman" w:hAnsi="Times New Roman" w:cs="Times New Roman"/>
          <w:i/>
          <w:iCs/>
          <w:noProof/>
          <w:szCs w:val="24"/>
        </w:rPr>
        <w:t>How To Solve It</w:t>
      </w:r>
      <w:r w:rsidRPr="007A7B95">
        <w:rPr>
          <w:rFonts w:ascii="Times New Roman" w:hAnsi="Times New Roman" w:cs="Times New Roman"/>
          <w:noProof/>
          <w:szCs w:val="24"/>
        </w:rPr>
        <w:t>. New Jersey: Princeton University Press.</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Sapti, M., Purwanto, Mulyati, S., &amp; Irawan, E. B. (2016). Pre-service Teacher Interpretations of Students’ Mathematical Understanding. In </w:t>
      </w:r>
      <w:r w:rsidRPr="007A7B95">
        <w:rPr>
          <w:rFonts w:ascii="Times New Roman" w:hAnsi="Times New Roman" w:cs="Times New Roman"/>
          <w:i/>
          <w:iCs/>
          <w:noProof/>
          <w:szCs w:val="24"/>
        </w:rPr>
        <w:t>Proceeding of 3rd International Conference on Research, Implementation and Education of Mathematics and Science</w:t>
      </w:r>
      <w:r w:rsidRPr="007A7B95">
        <w:rPr>
          <w:rFonts w:ascii="Times New Roman" w:hAnsi="Times New Roman" w:cs="Times New Roman"/>
          <w:noProof/>
          <w:szCs w:val="24"/>
        </w:rPr>
        <w:t xml:space="preserve"> (pp. 435–442). Yogyakarta: Faculty of Mathematics and Natural Science Yogyakarta State University.</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Sherin, M. G., Jacobs, V. R., &amp; Philipp, R. A. (2011). </w:t>
      </w:r>
      <w:r w:rsidRPr="007A7B95">
        <w:rPr>
          <w:rFonts w:ascii="Times New Roman" w:hAnsi="Times New Roman" w:cs="Times New Roman"/>
          <w:i/>
          <w:iCs/>
          <w:noProof/>
          <w:szCs w:val="24"/>
        </w:rPr>
        <w:t>Mathematics teacher noticing seeing through teachers’ eyes</w:t>
      </w:r>
      <w:r w:rsidRPr="007A7B95">
        <w:rPr>
          <w:rFonts w:ascii="Times New Roman" w:hAnsi="Times New Roman" w:cs="Times New Roman"/>
          <w:noProof/>
          <w:szCs w:val="24"/>
        </w:rPr>
        <w:t>. New York: Roudledge-Falmer. http://doi.org/10.4324/9780203832714</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Simon, M. A., &amp; Tzur, R. (1999). Explicating the teacher’s perspective from the researchers’ perspectives: Generating accounts of mathematics teachers’ practice. </w:t>
      </w:r>
      <w:r w:rsidRPr="007A7B95">
        <w:rPr>
          <w:rFonts w:ascii="Times New Roman" w:hAnsi="Times New Roman" w:cs="Times New Roman"/>
          <w:i/>
          <w:iCs/>
          <w:noProof/>
          <w:szCs w:val="24"/>
        </w:rPr>
        <w:t>Journal for Research in Mathematics Education</w:t>
      </w:r>
      <w:r w:rsidRPr="007A7B95">
        <w:rPr>
          <w:rFonts w:ascii="Times New Roman" w:hAnsi="Times New Roman" w:cs="Times New Roman"/>
          <w:noProof/>
          <w:szCs w:val="24"/>
        </w:rPr>
        <w:t xml:space="preserve">, </w:t>
      </w:r>
      <w:r w:rsidRPr="007A7B95">
        <w:rPr>
          <w:rFonts w:ascii="Times New Roman" w:hAnsi="Times New Roman" w:cs="Times New Roman"/>
          <w:i/>
          <w:iCs/>
          <w:noProof/>
          <w:szCs w:val="24"/>
        </w:rPr>
        <w:t>30</w:t>
      </w:r>
      <w:r w:rsidRPr="007A7B95">
        <w:rPr>
          <w:rFonts w:ascii="Times New Roman" w:hAnsi="Times New Roman" w:cs="Times New Roman"/>
          <w:noProof/>
          <w:szCs w:val="24"/>
        </w:rPr>
        <w:t>(4), 252–264. http://doi.org/10.2307/749835</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Sleep, L., &amp; Boerst, T. A. (2012). Preparing beginning teachers to elicit and interpret students’ mathematical thinking. </w:t>
      </w:r>
      <w:r w:rsidRPr="007A7B95">
        <w:rPr>
          <w:rFonts w:ascii="Times New Roman" w:hAnsi="Times New Roman" w:cs="Times New Roman"/>
          <w:i/>
          <w:iCs/>
          <w:noProof/>
          <w:szCs w:val="24"/>
        </w:rPr>
        <w:t>Teaching and Teacher Education</w:t>
      </w:r>
      <w:r w:rsidRPr="007A7B95">
        <w:rPr>
          <w:rFonts w:ascii="Times New Roman" w:hAnsi="Times New Roman" w:cs="Times New Roman"/>
          <w:noProof/>
          <w:szCs w:val="24"/>
        </w:rPr>
        <w:t xml:space="preserve">, </w:t>
      </w:r>
      <w:r w:rsidRPr="007A7B95">
        <w:rPr>
          <w:rFonts w:ascii="Times New Roman" w:hAnsi="Times New Roman" w:cs="Times New Roman"/>
          <w:i/>
          <w:iCs/>
          <w:noProof/>
          <w:szCs w:val="24"/>
        </w:rPr>
        <w:t>28</w:t>
      </w:r>
      <w:r w:rsidRPr="007A7B95">
        <w:rPr>
          <w:rFonts w:ascii="Times New Roman" w:hAnsi="Times New Roman" w:cs="Times New Roman"/>
          <w:noProof/>
          <w:szCs w:val="24"/>
        </w:rPr>
        <w:t>(7), 1038–1048. http://doi.org/10.1016/j.tate.2012.04.005</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Stacey, K. (2006). </w:t>
      </w:r>
      <w:r w:rsidRPr="007A7B95">
        <w:rPr>
          <w:rFonts w:ascii="Times New Roman" w:hAnsi="Times New Roman" w:cs="Times New Roman"/>
          <w:i/>
          <w:iCs/>
          <w:noProof/>
          <w:szCs w:val="24"/>
        </w:rPr>
        <w:t>What Is Mathematical Thinking and Why Is It Important?</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Steffe, L. P., &amp; Thompson, P. W. (2000). Teaching experiment methodology: Underlying principles and essential elements. In R. Lesh &amp; A. E. Kelly (Eds.), </w:t>
      </w:r>
      <w:r w:rsidRPr="007A7B95">
        <w:rPr>
          <w:rFonts w:ascii="Times New Roman" w:hAnsi="Times New Roman" w:cs="Times New Roman"/>
          <w:i/>
          <w:iCs/>
          <w:noProof/>
          <w:szCs w:val="24"/>
        </w:rPr>
        <w:t>Research Design in Mathematics and Science Education</w:t>
      </w:r>
      <w:r w:rsidRPr="007A7B95">
        <w:rPr>
          <w:rFonts w:ascii="Times New Roman" w:hAnsi="Times New Roman" w:cs="Times New Roman"/>
          <w:noProof/>
          <w:szCs w:val="24"/>
        </w:rPr>
        <w:t xml:space="preserve"> (pp. 267–307). Hillsdale, NJ: Erlbaum.</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Swartz, R. (2012). Infusing instruction in thinking into content instruction: What do we know about its success? </w:t>
      </w:r>
      <w:r w:rsidRPr="007A7B95">
        <w:rPr>
          <w:rFonts w:ascii="Times New Roman" w:hAnsi="Times New Roman" w:cs="Times New Roman"/>
          <w:i/>
          <w:iCs/>
          <w:noProof/>
          <w:szCs w:val="24"/>
        </w:rPr>
        <w:t>Sri Lanka Journal of Educational Research</w:t>
      </w:r>
      <w:r w:rsidRPr="007A7B95">
        <w:rPr>
          <w:rFonts w:ascii="Times New Roman" w:hAnsi="Times New Roman" w:cs="Times New Roman"/>
          <w:noProof/>
          <w:szCs w:val="24"/>
        </w:rPr>
        <w:t>, 1–39.</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van Es, E. A., &amp; Sherin, M. G. (2002). Learning to Notice: Scaffolding New Teachers’ Interpretations of Classroom Interactions. </w:t>
      </w:r>
      <w:r w:rsidRPr="007A7B95">
        <w:rPr>
          <w:rFonts w:ascii="Times New Roman" w:hAnsi="Times New Roman" w:cs="Times New Roman"/>
          <w:i/>
          <w:iCs/>
          <w:noProof/>
          <w:szCs w:val="24"/>
        </w:rPr>
        <w:t>Journal of Technology and Teacher Education</w:t>
      </w:r>
      <w:r w:rsidRPr="007A7B95">
        <w:rPr>
          <w:rFonts w:ascii="Times New Roman" w:hAnsi="Times New Roman" w:cs="Times New Roman"/>
          <w:noProof/>
          <w:szCs w:val="24"/>
        </w:rPr>
        <w:t xml:space="preserve">, </w:t>
      </w:r>
      <w:r w:rsidRPr="007A7B95">
        <w:rPr>
          <w:rFonts w:ascii="Times New Roman" w:hAnsi="Times New Roman" w:cs="Times New Roman"/>
          <w:i/>
          <w:iCs/>
          <w:noProof/>
          <w:szCs w:val="24"/>
        </w:rPr>
        <w:t>10</w:t>
      </w:r>
      <w:r w:rsidRPr="007A7B95">
        <w:rPr>
          <w:rFonts w:ascii="Times New Roman" w:hAnsi="Times New Roman" w:cs="Times New Roman"/>
          <w:noProof/>
          <w:szCs w:val="24"/>
        </w:rPr>
        <w:t>(4), 571–596.</w:t>
      </w:r>
    </w:p>
    <w:p w:rsid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t xml:space="preserve">Wilson, P. H., Lee, H. S., &amp; Hollebrands, K. F. (2011). Understanding prospective mathematics teachers’ processes for making sense of students’ work with technology. </w:t>
      </w:r>
      <w:r w:rsidRPr="007A7B95">
        <w:rPr>
          <w:rFonts w:ascii="Times New Roman" w:hAnsi="Times New Roman" w:cs="Times New Roman"/>
          <w:i/>
          <w:iCs/>
          <w:noProof/>
          <w:szCs w:val="24"/>
        </w:rPr>
        <w:t>Journal for Research in Mathematics Education</w:t>
      </w:r>
      <w:r w:rsidRPr="007A7B95">
        <w:rPr>
          <w:rFonts w:ascii="Times New Roman" w:hAnsi="Times New Roman" w:cs="Times New Roman"/>
          <w:noProof/>
          <w:szCs w:val="24"/>
        </w:rPr>
        <w:t xml:space="preserve">, </w:t>
      </w:r>
      <w:r w:rsidRPr="007A7B95">
        <w:rPr>
          <w:rFonts w:ascii="Times New Roman" w:hAnsi="Times New Roman" w:cs="Times New Roman"/>
          <w:i/>
          <w:iCs/>
          <w:noProof/>
          <w:szCs w:val="24"/>
        </w:rPr>
        <w:t>42</w:t>
      </w:r>
      <w:r w:rsidRPr="007A7B95">
        <w:rPr>
          <w:rFonts w:ascii="Times New Roman" w:hAnsi="Times New Roman" w:cs="Times New Roman"/>
          <w:noProof/>
          <w:szCs w:val="24"/>
        </w:rPr>
        <w:t>(1), 39–64. http://doi.org/10.5951/jresematheduc.42.1.0039</w:t>
      </w:r>
    </w:p>
    <w:p w:rsidR="007A7B95" w:rsidRPr="000E7FDD" w:rsidRDefault="007A7B95" w:rsidP="000E7FDD">
      <w:pPr>
        <w:tabs>
          <w:tab w:val="left" w:pos="567"/>
        </w:tabs>
        <w:spacing w:after="0" w:line="360" w:lineRule="auto"/>
        <w:ind w:left="567" w:hanging="567"/>
        <w:rPr>
          <w:rFonts w:ascii="Times New Roman" w:hAnsi="Times New Roman" w:cs="Times New Roman"/>
          <w:noProof/>
          <w:szCs w:val="24"/>
        </w:rPr>
      </w:pPr>
      <w:r w:rsidRPr="007A7B95">
        <w:rPr>
          <w:rFonts w:ascii="Times New Roman" w:hAnsi="Times New Roman" w:cs="Times New Roman"/>
          <w:noProof/>
          <w:szCs w:val="24"/>
        </w:rPr>
        <w:lastRenderedPageBreak/>
        <w:t xml:space="preserve">Zhu, Y., Yu, W., &amp; Cai, J. (2018). Understanding students’ mathematical thinking for effective teaching: A comparison between expert and nonexpert Chinese elementary mathematics teachers. </w:t>
      </w:r>
      <w:r w:rsidRPr="007A7B95">
        <w:rPr>
          <w:rFonts w:ascii="Times New Roman" w:hAnsi="Times New Roman" w:cs="Times New Roman"/>
          <w:i/>
          <w:iCs/>
          <w:noProof/>
          <w:szCs w:val="24"/>
        </w:rPr>
        <w:t>Eurasia Journal of Mathematics, Science and Technology Education</w:t>
      </w:r>
      <w:r w:rsidRPr="007A7B95">
        <w:rPr>
          <w:rFonts w:ascii="Times New Roman" w:hAnsi="Times New Roman" w:cs="Times New Roman"/>
          <w:noProof/>
          <w:szCs w:val="24"/>
        </w:rPr>
        <w:t xml:space="preserve">, </w:t>
      </w:r>
      <w:r w:rsidRPr="007A7B95">
        <w:rPr>
          <w:rFonts w:ascii="Times New Roman" w:hAnsi="Times New Roman" w:cs="Times New Roman"/>
          <w:i/>
          <w:iCs/>
          <w:noProof/>
          <w:szCs w:val="24"/>
        </w:rPr>
        <w:t>14</w:t>
      </w:r>
      <w:r w:rsidRPr="007A7B95">
        <w:rPr>
          <w:rFonts w:ascii="Times New Roman" w:hAnsi="Times New Roman" w:cs="Times New Roman"/>
          <w:noProof/>
          <w:szCs w:val="24"/>
        </w:rPr>
        <w:t>(1), 213–224. http://doi.org/10.12973/ejmste/78241</w:t>
      </w:r>
    </w:p>
    <w:p w:rsidR="007E0220" w:rsidRPr="007E0220" w:rsidRDefault="009565CE" w:rsidP="007A7B95">
      <w:pPr>
        <w:widowControl w:val="0"/>
        <w:autoSpaceDE w:val="0"/>
        <w:autoSpaceDN w:val="0"/>
        <w:adjustRightInd w:val="0"/>
        <w:spacing w:after="0" w:line="360" w:lineRule="auto"/>
        <w:ind w:left="480" w:hanging="480"/>
        <w:rPr>
          <w:rFonts w:ascii="Times New Roman" w:hAnsi="Times New Roman" w:cs="Times New Roman"/>
        </w:rPr>
      </w:pPr>
      <w:r w:rsidRPr="009565CE">
        <w:rPr>
          <w:rFonts w:ascii="Times New Roman" w:hAnsi="Times New Roman" w:cs="Times New Roman"/>
        </w:rPr>
        <w:fldChar w:fldCharType="end"/>
      </w:r>
    </w:p>
    <w:sectPr w:rsidR="007E0220" w:rsidRPr="007E0220" w:rsidSect="00B53143">
      <w:headerReference w:type="even" r:id="rId23"/>
      <w:headerReference w:type="default" r:id="rId24"/>
      <w:headerReference w:type="first" r:id="rId25"/>
      <w:footerReference w:type="first" r:id="rId26"/>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32" w:rsidRDefault="008A6A32" w:rsidP="00B53143">
      <w:pPr>
        <w:spacing w:after="0" w:line="240" w:lineRule="auto"/>
      </w:pPr>
      <w:r>
        <w:separator/>
      </w:r>
    </w:p>
  </w:endnote>
  <w:endnote w:type="continuationSeparator" w:id="0">
    <w:p w:rsidR="008A6A32" w:rsidRDefault="008A6A32" w:rsidP="00B5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096"/>
      <w:docPartObj>
        <w:docPartGallery w:val="Page Numbers (Bottom of Page)"/>
        <w:docPartUnique/>
      </w:docPartObj>
    </w:sdtPr>
    <w:sdtEndPr/>
    <w:sdtContent>
      <w:p w:rsidR="005344F0" w:rsidRDefault="005344F0">
        <w:pPr>
          <w:pStyle w:val="Footer"/>
          <w:jc w:val="center"/>
        </w:pPr>
        <w:r w:rsidRPr="00925DB1">
          <w:rPr>
            <w:rFonts w:ascii="Times New Roman" w:hAnsi="Times New Roman" w:cs="Times New Roman"/>
            <w:sz w:val="18"/>
          </w:rPr>
          <w:fldChar w:fldCharType="begin"/>
        </w:r>
        <w:r w:rsidRPr="00925DB1">
          <w:rPr>
            <w:rFonts w:ascii="Times New Roman" w:hAnsi="Times New Roman" w:cs="Times New Roman"/>
            <w:sz w:val="18"/>
          </w:rPr>
          <w:instrText xml:space="preserve"> PAGE   \* MERGEFORMAT </w:instrText>
        </w:r>
        <w:r w:rsidRPr="00925DB1">
          <w:rPr>
            <w:rFonts w:ascii="Times New Roman" w:hAnsi="Times New Roman" w:cs="Times New Roman"/>
            <w:sz w:val="18"/>
          </w:rPr>
          <w:fldChar w:fldCharType="separate"/>
        </w:r>
        <w:r w:rsidR="00C942D3">
          <w:rPr>
            <w:rFonts w:ascii="Times New Roman" w:hAnsi="Times New Roman" w:cs="Times New Roman"/>
            <w:noProof/>
            <w:sz w:val="18"/>
          </w:rPr>
          <w:t>1</w:t>
        </w:r>
        <w:r w:rsidRPr="00925DB1">
          <w:rPr>
            <w:rFonts w:ascii="Times New Roman" w:hAnsi="Times New Roman" w:cs="Times New Roman"/>
            <w:sz w:val="18"/>
          </w:rPr>
          <w:fldChar w:fldCharType="end"/>
        </w:r>
      </w:p>
    </w:sdtContent>
  </w:sdt>
  <w:p w:rsidR="005344F0" w:rsidRDefault="005344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32" w:rsidRDefault="008A6A32" w:rsidP="00B53143">
      <w:pPr>
        <w:spacing w:after="0" w:line="240" w:lineRule="auto"/>
      </w:pPr>
      <w:r>
        <w:separator/>
      </w:r>
    </w:p>
  </w:footnote>
  <w:footnote w:type="continuationSeparator" w:id="0">
    <w:p w:rsidR="008A6A32" w:rsidRDefault="008A6A32" w:rsidP="00B5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F0" w:rsidRDefault="005344F0">
    <w:pPr>
      <w:pStyle w:val="Header"/>
      <w:jc w:val="right"/>
    </w:pPr>
    <w:r>
      <w:rPr>
        <w:rFonts w:ascii="Times New Roman" w:hAnsi="Times New Roman" w:cs="Times New Roman"/>
        <w:sz w:val="18"/>
        <w:szCs w:val="18"/>
      </w:rPr>
      <w:t>Sapti, Purwanto, As’ari, &amp; Wijaya,</w:t>
    </w:r>
    <w:r w:rsidRPr="00B53143">
      <w:rPr>
        <w:rFonts w:ascii="Times New Roman" w:hAnsi="Times New Roman" w:cs="Times New Roman"/>
        <w:i/>
        <w:sz w:val="18"/>
        <w:szCs w:val="18"/>
      </w:rPr>
      <w:t xml:space="preserve"> </w:t>
    </w:r>
    <w:r>
      <w:rPr>
        <w:rFonts w:ascii="Times New Roman" w:hAnsi="Times New Roman" w:cs="Times New Roman"/>
        <w:i/>
        <w:sz w:val="18"/>
        <w:szCs w:val="18"/>
      </w:rPr>
      <w:t>Comparing Model-</w:t>
    </w:r>
    <w:r w:rsidRPr="00B50E95">
      <w:rPr>
        <w:rFonts w:ascii="Times New Roman" w:hAnsi="Times New Roman" w:cs="Times New Roman"/>
        <w:i/>
        <w:sz w:val="18"/>
        <w:szCs w:val="18"/>
      </w:rPr>
      <w:t xml:space="preserve">Building Process: A Model </w:t>
    </w:r>
    <w:r>
      <w:rPr>
        <w:rFonts w:ascii="Times New Roman" w:hAnsi="Times New Roman" w:cs="Times New Roman"/>
        <w:i/>
        <w:sz w:val="18"/>
        <w:szCs w:val="18"/>
      </w:rPr>
      <w:t xml:space="preserve">...     </w:t>
    </w:r>
    <w:sdt>
      <w:sdtPr>
        <w:rPr>
          <w:rFonts w:ascii="Times New Roman" w:hAnsi="Times New Roman" w:cs="Times New Roman"/>
          <w:sz w:val="18"/>
          <w:szCs w:val="18"/>
        </w:rPr>
        <w:id w:val="7374142"/>
        <w:docPartObj>
          <w:docPartGallery w:val="Page Numbers (Top of Page)"/>
          <w:docPartUnique/>
        </w:docPartObj>
      </w:sdtPr>
      <w:sdtEndPr/>
      <w:sdtContent>
        <w:r w:rsidRPr="00B50E95">
          <w:rPr>
            <w:rFonts w:ascii="Times New Roman" w:hAnsi="Times New Roman" w:cs="Times New Roman"/>
            <w:sz w:val="18"/>
            <w:szCs w:val="18"/>
          </w:rPr>
          <w:fldChar w:fldCharType="begin"/>
        </w:r>
        <w:r w:rsidRPr="00B50E95">
          <w:rPr>
            <w:rFonts w:ascii="Times New Roman" w:hAnsi="Times New Roman" w:cs="Times New Roman"/>
            <w:sz w:val="18"/>
            <w:szCs w:val="18"/>
          </w:rPr>
          <w:instrText xml:space="preserve"> PAGE   \* MERGEFORMAT </w:instrText>
        </w:r>
        <w:r w:rsidRPr="00B50E95">
          <w:rPr>
            <w:rFonts w:ascii="Times New Roman" w:hAnsi="Times New Roman" w:cs="Times New Roman"/>
            <w:sz w:val="18"/>
            <w:szCs w:val="18"/>
          </w:rPr>
          <w:fldChar w:fldCharType="separate"/>
        </w:r>
        <w:r w:rsidR="00C942D3">
          <w:rPr>
            <w:rFonts w:ascii="Times New Roman" w:hAnsi="Times New Roman" w:cs="Times New Roman"/>
            <w:noProof/>
            <w:sz w:val="18"/>
            <w:szCs w:val="18"/>
          </w:rPr>
          <w:t>14</w:t>
        </w:r>
        <w:r w:rsidRPr="00B50E95">
          <w:rPr>
            <w:rFonts w:ascii="Times New Roman" w:hAnsi="Times New Roman" w:cs="Times New Roman"/>
            <w:sz w:val="18"/>
            <w:szCs w:val="18"/>
          </w:rPr>
          <w:fldChar w:fldCharType="end"/>
        </w:r>
      </w:sdtContent>
    </w:sdt>
  </w:p>
  <w:p w:rsidR="005344F0" w:rsidRPr="00B53143" w:rsidRDefault="005344F0" w:rsidP="00924151">
    <w:pPr>
      <w:pStyle w:val="Header"/>
      <w:tabs>
        <w:tab w:val="left" w:pos="567"/>
      </w:tabs>
      <w:rPr>
        <w:rFonts w:ascii="Times New Roman" w:hAnsi="Times New Roman" w:cs="Times New Roman"/>
        <w:sz w:val="18"/>
        <w:szCs w:val="18"/>
      </w:rPr>
    </w:pPr>
    <w:r>
      <w:rPr>
        <w:rFonts w:ascii="Times New Roman" w:hAnsi="Times New Roman" w:cs="Times New Roman"/>
        <w:b/>
        <w:vanish/>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F0" w:rsidRPr="00B53143" w:rsidRDefault="005344F0" w:rsidP="00924151">
    <w:pPr>
      <w:pStyle w:val="Header"/>
      <w:tabs>
        <w:tab w:val="left" w:pos="567"/>
      </w:tabs>
      <w:rPr>
        <w:rFonts w:ascii="Times New Roman" w:hAnsi="Times New Roman" w:cs="Times New Roman"/>
        <w:sz w:val="18"/>
        <w:szCs w:val="18"/>
      </w:rPr>
    </w:pPr>
    <w:r w:rsidRPr="00924151">
      <w:rPr>
        <w:rFonts w:ascii="Times New Roman" w:hAnsi="Times New Roman" w:cs="Times New Roman"/>
        <w:sz w:val="18"/>
        <w:szCs w:val="18"/>
      </w:rPr>
      <w:t xml:space="preserve"> </w:t>
    </w:r>
    <w:sdt>
      <w:sdtPr>
        <w:rPr>
          <w:rFonts w:ascii="Times New Roman" w:hAnsi="Times New Roman" w:cs="Times New Roman"/>
          <w:sz w:val="18"/>
          <w:szCs w:val="18"/>
        </w:rPr>
        <w:id w:val="-1660220565"/>
        <w:docPartObj>
          <w:docPartGallery w:val="Page Numbers (Top of Page)"/>
          <w:docPartUnique/>
        </w:docPartObj>
      </w:sdtPr>
      <w:sdtEndPr>
        <w:rPr>
          <w:noProof/>
        </w:rPr>
      </w:sdtEndPr>
      <w:sdtContent>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C942D3">
          <w:rPr>
            <w:rFonts w:ascii="Times New Roman" w:hAnsi="Times New Roman" w:cs="Times New Roman"/>
            <w:noProof/>
            <w:sz w:val="18"/>
            <w:szCs w:val="18"/>
          </w:rPr>
          <w:t>13</w:t>
        </w:r>
        <w:r w:rsidRPr="00B53143">
          <w:rPr>
            <w:rFonts w:ascii="Times New Roman" w:hAnsi="Times New Roman" w:cs="Times New Roman"/>
            <w:noProof/>
            <w:sz w:val="18"/>
            <w:szCs w:val="18"/>
          </w:rPr>
          <w:fldChar w:fldCharType="end"/>
        </w:r>
        <w:r w:rsidRPr="00B53143">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ab/>
        </w:r>
        <w:r w:rsidRPr="0046437B">
          <w:rPr>
            <w:rFonts w:ascii="Times New Roman" w:eastAsia="Times New Roman" w:hAnsi="Times New Roman" w:cs="Times New Roman"/>
            <w:b/>
            <w:i/>
            <w:sz w:val="18"/>
            <w:szCs w:val="18"/>
          </w:rPr>
          <w:t>J</w:t>
        </w:r>
        <w:r>
          <w:rPr>
            <w:rFonts w:ascii="Times New Roman" w:eastAsia="Times New Roman" w:hAnsi="Times New Roman" w:cs="Times New Roman"/>
            <w:b/>
            <w:i/>
            <w:sz w:val="18"/>
            <w:szCs w:val="18"/>
          </w:rPr>
          <w:t xml:space="preserve">ournal on </w:t>
        </w:r>
        <w:r w:rsidRPr="0046437B">
          <w:rPr>
            <w:rFonts w:ascii="Times New Roman" w:eastAsia="Times New Roman" w:hAnsi="Times New Roman" w:cs="Times New Roman"/>
            <w:b/>
            <w:i/>
            <w:sz w:val="18"/>
            <w:szCs w:val="18"/>
          </w:rPr>
          <w:t>M</w:t>
        </w:r>
        <w:r>
          <w:rPr>
            <w:rFonts w:ascii="Times New Roman" w:eastAsia="Times New Roman" w:hAnsi="Times New Roman" w:cs="Times New Roman"/>
            <w:b/>
            <w:i/>
            <w:sz w:val="18"/>
            <w:szCs w:val="18"/>
          </w:rPr>
          <w:t xml:space="preserve">athematics </w:t>
        </w:r>
        <w:r w:rsidRPr="0046437B">
          <w:rPr>
            <w:rFonts w:ascii="Times New Roman" w:eastAsia="Times New Roman" w:hAnsi="Times New Roman" w:cs="Times New Roman"/>
            <w:b/>
            <w:i/>
            <w:sz w:val="18"/>
            <w:szCs w:val="18"/>
          </w:rPr>
          <w:t>E</w:t>
        </w:r>
        <w:r>
          <w:rPr>
            <w:rFonts w:ascii="Times New Roman" w:eastAsia="Times New Roman" w:hAnsi="Times New Roman" w:cs="Times New Roman"/>
            <w:b/>
            <w:i/>
            <w:sz w:val="18"/>
            <w:szCs w:val="18"/>
          </w:rPr>
          <w:t>ducation</w:t>
        </w:r>
        <w:r w:rsidRPr="0046437B">
          <w:rPr>
            <w:rFonts w:ascii="Times New Roman" w:eastAsia="Times New Roman" w:hAnsi="Times New Roman" w:cs="Times New Roman"/>
            <w:i/>
            <w:sz w:val="18"/>
            <w:szCs w:val="18"/>
          </w:rPr>
          <w:t xml:space="preserve">, Volume </w:t>
        </w:r>
        <w:r>
          <w:rPr>
            <w:rFonts w:ascii="Times New Roman" w:eastAsia="Times New Roman" w:hAnsi="Times New Roman" w:cs="Times New Roman"/>
            <w:i/>
            <w:sz w:val="18"/>
            <w:szCs w:val="18"/>
          </w:rPr>
          <w:t>xx</w:t>
        </w:r>
        <w:r w:rsidRPr="0046437B">
          <w:rPr>
            <w:rFonts w:ascii="Times New Roman" w:eastAsia="Times New Roman" w:hAnsi="Times New Roman" w:cs="Times New Roman"/>
            <w:i/>
            <w:sz w:val="18"/>
            <w:szCs w:val="18"/>
          </w:rPr>
          <w:t xml:space="preserve">, No. </w:t>
        </w:r>
        <w:r>
          <w:rPr>
            <w:rFonts w:ascii="Times New Roman" w:eastAsia="Times New Roman" w:hAnsi="Times New Roman" w:cs="Times New Roman"/>
            <w:i/>
            <w:sz w:val="18"/>
            <w:szCs w:val="18"/>
          </w:rPr>
          <w:t>x</w:t>
        </w:r>
        <w:r w:rsidRPr="0046437B">
          <w:rPr>
            <w:rFonts w:ascii="Times New Roman" w:eastAsia="Times New Roman" w:hAnsi="Times New Roman" w:cs="Times New Roman"/>
            <w:i/>
            <w:sz w:val="18"/>
            <w:szCs w:val="18"/>
          </w:rPr>
          <w:t>, J</w:t>
        </w:r>
        <w:r>
          <w:rPr>
            <w:rFonts w:ascii="Times New Roman" w:eastAsia="Times New Roman" w:hAnsi="Times New Roman" w:cs="Times New Roman"/>
            <w:i/>
            <w:sz w:val="18"/>
            <w:szCs w:val="18"/>
          </w:rPr>
          <w:t>anuar</w:t>
        </w:r>
        <w:r w:rsidRPr="0046437B">
          <w:rPr>
            <w:rFonts w:ascii="Times New Roman" w:eastAsia="Times New Roman" w:hAnsi="Times New Roman" w:cs="Times New Roman"/>
            <w:i/>
            <w:sz w:val="18"/>
            <w:szCs w:val="18"/>
          </w:rPr>
          <w:t xml:space="preserve">y </w:t>
        </w:r>
        <w:r>
          <w:rPr>
            <w:rFonts w:ascii="Times New Roman" w:eastAsia="Times New Roman" w:hAnsi="Times New Roman" w:cs="Times New Roman"/>
            <w:i/>
            <w:sz w:val="18"/>
            <w:szCs w:val="18"/>
          </w:rPr>
          <w:t>xxxx</w:t>
        </w:r>
        <w:r w:rsidRPr="0046437B">
          <w:rPr>
            <w:rFonts w:ascii="Times New Roman" w:eastAsia="Times New Roman" w:hAnsi="Times New Roman" w:cs="Times New Roman"/>
            <w:i/>
            <w:sz w:val="18"/>
            <w:szCs w:val="18"/>
          </w:rPr>
          <w:t xml:space="preserve">, pp. </w:t>
        </w:r>
        <w:r>
          <w:rPr>
            <w:rFonts w:ascii="Times New Roman" w:eastAsia="Times New Roman" w:hAnsi="Times New Roman" w:cs="Times New Roman"/>
            <w:i/>
            <w:sz w:val="18"/>
            <w:szCs w:val="18"/>
          </w:rPr>
          <w:t>xx-xx</w:t>
        </w:r>
      </w:sdtContent>
    </w:sdt>
  </w:p>
  <w:p w:rsidR="005344F0" w:rsidRDefault="005344F0" w:rsidP="0092415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F0" w:rsidRPr="00B53143" w:rsidRDefault="005344F0" w:rsidP="00B53143">
    <w:pPr>
      <w:pStyle w:val="Header"/>
      <w:tabs>
        <w:tab w:val="left" w:pos="709"/>
      </w:tabs>
      <w:rPr>
        <w:rFonts w:ascii="Times New Roman" w:hAnsi="Times New Roman" w:cs="Times New Roman"/>
        <w:sz w:val="18"/>
        <w:szCs w:val="18"/>
      </w:rPr>
    </w:pPr>
    <w:r w:rsidRPr="002020DD">
      <w:rPr>
        <w:rFonts w:ascii="Times New Roman" w:hAnsi="Times New Roman" w:cs="Times New Roman"/>
        <w:noProof/>
        <w:sz w:val="18"/>
        <w:szCs w:val="18"/>
      </w:rPr>
      <w:drawing>
        <wp:anchor distT="0" distB="0" distL="114300" distR="114300" simplePos="0" relativeHeight="251659264" behindDoc="0" locked="0" layoutInCell="1" allowOverlap="1">
          <wp:simplePos x="0" y="0"/>
          <wp:positionH relativeFrom="margin">
            <wp:align>right</wp:align>
          </wp:positionH>
          <wp:positionV relativeFrom="paragraph">
            <wp:posOffset>6985</wp:posOffset>
          </wp:positionV>
          <wp:extent cx="969010" cy="69469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JME v1.jpg"/>
                  <pic:cNvPicPr/>
                </pic:nvPicPr>
                <pic:blipFill>
                  <a:blip r:embed="rId1">
                    <a:extLst>
                      <a:ext uri="{28A0092B-C50C-407E-A947-70E740481C1C}">
                        <a14:useLocalDpi xmlns:a14="http://schemas.microsoft.com/office/drawing/2010/main" val="0"/>
                      </a:ext>
                    </a:extLst>
                  </a:blip>
                  <a:stretch>
                    <a:fillRect/>
                  </a:stretch>
                </pic:blipFill>
                <pic:spPr>
                  <a:xfrm>
                    <a:off x="0" y="0"/>
                    <a:ext cx="969010" cy="694690"/>
                  </a:xfrm>
                  <a:prstGeom prst="rect">
                    <a:avLst/>
                  </a:prstGeom>
                </pic:spPr>
              </pic:pic>
            </a:graphicData>
          </a:graphic>
        </wp:anchor>
      </w:drawing>
    </w:r>
    <w:r w:rsidRPr="00B53143">
      <w:rPr>
        <w:rFonts w:ascii="Times New Roman" w:hAnsi="Times New Roman" w:cs="Times New Roman"/>
        <w:sz w:val="18"/>
        <w:szCs w:val="18"/>
      </w:rPr>
      <w:t xml:space="preserve">ISSN </w:t>
    </w:r>
    <w:r w:rsidRPr="00B53143">
      <w:rPr>
        <w:rFonts w:ascii="Times New Roman" w:hAnsi="Times New Roman" w:cs="Times New Roman"/>
        <w:bCs/>
        <w:sz w:val="18"/>
        <w:szCs w:val="18"/>
      </w:rPr>
      <w:t>2087-8885</w:t>
    </w:r>
  </w:p>
  <w:p w:rsidR="005344F0" w:rsidRDefault="005344F0" w:rsidP="00B53143">
    <w:pPr>
      <w:pStyle w:val="Header"/>
      <w:tabs>
        <w:tab w:val="left" w:pos="709"/>
      </w:tabs>
      <w:rPr>
        <w:rFonts w:ascii="Times New Roman" w:hAnsi="Times New Roman" w:cs="Times New Roman"/>
        <w:bCs/>
        <w:sz w:val="18"/>
        <w:szCs w:val="18"/>
      </w:rPr>
    </w:pPr>
    <w:r>
      <w:rPr>
        <w:rFonts w:ascii="Times New Roman" w:hAnsi="Times New Roman" w:cs="Times New Roman"/>
        <w:sz w:val="18"/>
        <w:szCs w:val="18"/>
      </w:rPr>
      <w:t>E</w:t>
    </w:r>
    <w:r w:rsidRPr="00B53143">
      <w:rPr>
        <w:rFonts w:ascii="Times New Roman" w:hAnsi="Times New Roman" w:cs="Times New Roman"/>
        <w:sz w:val="18"/>
        <w:szCs w:val="18"/>
      </w:rPr>
      <w:t xml:space="preserve">-ISSN </w:t>
    </w:r>
    <w:r w:rsidRPr="00B53143">
      <w:rPr>
        <w:rFonts w:ascii="Times New Roman" w:hAnsi="Times New Roman" w:cs="Times New Roman"/>
        <w:bCs/>
        <w:sz w:val="18"/>
        <w:szCs w:val="18"/>
      </w:rPr>
      <w:t>2407-0610</w:t>
    </w:r>
  </w:p>
  <w:p w:rsidR="005344F0" w:rsidRDefault="005344F0" w:rsidP="00B53143">
    <w:pPr>
      <w:pStyle w:val="Header"/>
      <w:tabs>
        <w:tab w:val="left" w:pos="709"/>
      </w:tabs>
      <w:rPr>
        <w:rFonts w:ascii="Times New Roman" w:eastAsia="Times New Roman" w:hAnsi="Times New Roman" w:cs="Times New Roman"/>
        <w:b/>
        <w:sz w:val="18"/>
        <w:szCs w:val="18"/>
      </w:rPr>
    </w:pPr>
  </w:p>
  <w:p w:rsidR="005344F0" w:rsidRPr="00CC3C18" w:rsidRDefault="005344F0" w:rsidP="00B53143">
    <w:pPr>
      <w:pStyle w:val="Header"/>
      <w:tabs>
        <w:tab w:val="left" w:pos="709"/>
      </w:tabs>
      <w:rPr>
        <w:rFonts w:ascii="Times New Roman" w:eastAsia="Times New Roman" w:hAnsi="Times New Roman" w:cs="Times New Roman"/>
        <w:b/>
        <w:sz w:val="18"/>
        <w:szCs w:val="18"/>
      </w:rPr>
    </w:pPr>
    <w:r w:rsidRPr="00CC3C18">
      <w:rPr>
        <w:rFonts w:ascii="Times New Roman" w:eastAsia="Times New Roman" w:hAnsi="Times New Roman" w:cs="Times New Roman"/>
        <w:b/>
        <w:sz w:val="18"/>
        <w:szCs w:val="18"/>
      </w:rPr>
      <w:t>Journal on Mathematics Education</w:t>
    </w:r>
  </w:p>
  <w:p w:rsidR="005344F0" w:rsidRDefault="005344F0" w:rsidP="00B53143">
    <w:pPr>
      <w:pStyle w:val="Header"/>
      <w:tabs>
        <w:tab w:val="left" w:pos="709"/>
      </w:tabs>
      <w:rPr>
        <w:rFonts w:ascii="Times New Roman" w:eastAsia="Times New Roman" w:hAnsi="Times New Roman" w:cs="Times New Roman"/>
        <w:sz w:val="18"/>
        <w:szCs w:val="18"/>
      </w:rPr>
    </w:pPr>
    <w:r w:rsidRPr="00CC3C18">
      <w:rPr>
        <w:rFonts w:ascii="Times New Roman" w:eastAsia="Times New Roman" w:hAnsi="Times New Roman" w:cs="Times New Roman"/>
        <w:sz w:val="18"/>
        <w:szCs w:val="18"/>
      </w:rPr>
      <w:t xml:space="preserve">Volume </w:t>
    </w:r>
    <w:r>
      <w:rPr>
        <w:rFonts w:ascii="Times New Roman" w:eastAsia="Times New Roman" w:hAnsi="Times New Roman" w:cs="Times New Roman"/>
        <w:sz w:val="18"/>
        <w:szCs w:val="18"/>
      </w:rPr>
      <w:t>xx</w:t>
    </w:r>
    <w:r w:rsidRPr="00CC3C18">
      <w:rPr>
        <w:rFonts w:ascii="Times New Roman" w:eastAsia="Times New Roman" w:hAnsi="Times New Roman" w:cs="Times New Roman"/>
        <w:sz w:val="18"/>
        <w:szCs w:val="18"/>
      </w:rPr>
      <w:t xml:space="preserve">, No. </w:t>
    </w:r>
    <w:r>
      <w:rPr>
        <w:rFonts w:ascii="Times New Roman" w:eastAsia="Times New Roman" w:hAnsi="Times New Roman" w:cs="Times New Roman"/>
        <w:sz w:val="18"/>
        <w:szCs w:val="18"/>
      </w:rPr>
      <w:t>x</w:t>
    </w:r>
    <w:r w:rsidRPr="00CC3C18">
      <w:rPr>
        <w:rFonts w:ascii="Times New Roman" w:eastAsia="Times New Roman" w:hAnsi="Times New Roman" w:cs="Times New Roman"/>
        <w:sz w:val="18"/>
        <w:szCs w:val="18"/>
      </w:rPr>
      <w:t xml:space="preserve">, January </w:t>
    </w:r>
    <w:r>
      <w:rPr>
        <w:rFonts w:ascii="Times New Roman" w:eastAsia="Times New Roman" w:hAnsi="Times New Roman" w:cs="Times New Roman"/>
        <w:sz w:val="18"/>
        <w:szCs w:val="18"/>
      </w:rPr>
      <w:t>xxxx, pp. x-xx</w:t>
    </w:r>
  </w:p>
  <w:p w:rsidR="005344F0" w:rsidRPr="00CC3C18" w:rsidRDefault="005344F0" w:rsidP="00B53143">
    <w:pPr>
      <w:pStyle w:val="Header"/>
      <w:tabs>
        <w:tab w:val="left" w:pos="709"/>
      </w:tabs>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3EA7588"/>
    <w:multiLevelType w:val="hybridMultilevel"/>
    <w:tmpl w:val="3544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3">
    <w:nsid w:val="339C1B91"/>
    <w:multiLevelType w:val="hybridMultilevel"/>
    <w:tmpl w:val="FCDC0A88"/>
    <w:lvl w:ilvl="0" w:tplc="C1C2C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5">
    <w:abstractNumId w:val="2"/>
  </w:num>
  <w:num w:numId="6">
    <w:abstractNumId w:val="2"/>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8E"/>
    <w:rsid w:val="00020523"/>
    <w:rsid w:val="00020883"/>
    <w:rsid w:val="0007093B"/>
    <w:rsid w:val="000810E0"/>
    <w:rsid w:val="000A72B8"/>
    <w:rsid w:val="000B272B"/>
    <w:rsid w:val="000B599E"/>
    <w:rsid w:val="000C05CA"/>
    <w:rsid w:val="000C4A46"/>
    <w:rsid w:val="000D2CB9"/>
    <w:rsid w:val="000E3571"/>
    <w:rsid w:val="000E4FBA"/>
    <w:rsid w:val="000E5834"/>
    <w:rsid w:val="000E7FDD"/>
    <w:rsid w:val="000F62CE"/>
    <w:rsid w:val="001238C2"/>
    <w:rsid w:val="0014521F"/>
    <w:rsid w:val="001B6F3A"/>
    <w:rsid w:val="001C1C73"/>
    <w:rsid w:val="001E78FD"/>
    <w:rsid w:val="002052FE"/>
    <w:rsid w:val="00221045"/>
    <w:rsid w:val="002275F1"/>
    <w:rsid w:val="00250A2A"/>
    <w:rsid w:val="0025283B"/>
    <w:rsid w:val="00253548"/>
    <w:rsid w:val="00255BD6"/>
    <w:rsid w:val="002715D5"/>
    <w:rsid w:val="0028015C"/>
    <w:rsid w:val="002801DB"/>
    <w:rsid w:val="002973BA"/>
    <w:rsid w:val="002A3810"/>
    <w:rsid w:val="002B7563"/>
    <w:rsid w:val="002D027A"/>
    <w:rsid w:val="00304DA8"/>
    <w:rsid w:val="00307BB5"/>
    <w:rsid w:val="00313E18"/>
    <w:rsid w:val="003317EF"/>
    <w:rsid w:val="003942DA"/>
    <w:rsid w:val="003A41CC"/>
    <w:rsid w:val="003A435B"/>
    <w:rsid w:val="003C4249"/>
    <w:rsid w:val="003C4D10"/>
    <w:rsid w:val="003C4D4E"/>
    <w:rsid w:val="004023D5"/>
    <w:rsid w:val="004035EA"/>
    <w:rsid w:val="00414A9D"/>
    <w:rsid w:val="00454527"/>
    <w:rsid w:val="00480A4C"/>
    <w:rsid w:val="00487026"/>
    <w:rsid w:val="004B7C12"/>
    <w:rsid w:val="004C7EA5"/>
    <w:rsid w:val="004D431F"/>
    <w:rsid w:val="005036DA"/>
    <w:rsid w:val="0051487C"/>
    <w:rsid w:val="005344F0"/>
    <w:rsid w:val="00550AA8"/>
    <w:rsid w:val="005551F2"/>
    <w:rsid w:val="005910B1"/>
    <w:rsid w:val="005A4659"/>
    <w:rsid w:val="005F14ED"/>
    <w:rsid w:val="005F2AF0"/>
    <w:rsid w:val="00622955"/>
    <w:rsid w:val="00670B50"/>
    <w:rsid w:val="006A03B9"/>
    <w:rsid w:val="006A5D2D"/>
    <w:rsid w:val="006C4B5F"/>
    <w:rsid w:val="007217AE"/>
    <w:rsid w:val="00731E92"/>
    <w:rsid w:val="00766043"/>
    <w:rsid w:val="00783351"/>
    <w:rsid w:val="007973B6"/>
    <w:rsid w:val="007A7B95"/>
    <w:rsid w:val="007D6C37"/>
    <w:rsid w:val="007E0220"/>
    <w:rsid w:val="007F70A9"/>
    <w:rsid w:val="00806223"/>
    <w:rsid w:val="008062F3"/>
    <w:rsid w:val="0081412A"/>
    <w:rsid w:val="00835F38"/>
    <w:rsid w:val="00837AB3"/>
    <w:rsid w:val="008A38D5"/>
    <w:rsid w:val="008A4C7B"/>
    <w:rsid w:val="008A56E7"/>
    <w:rsid w:val="008A6A32"/>
    <w:rsid w:val="008C4C2F"/>
    <w:rsid w:val="008F4A97"/>
    <w:rsid w:val="00904D69"/>
    <w:rsid w:val="00924151"/>
    <w:rsid w:val="00925DB1"/>
    <w:rsid w:val="00926A82"/>
    <w:rsid w:val="00937D4B"/>
    <w:rsid w:val="00940B51"/>
    <w:rsid w:val="009424E0"/>
    <w:rsid w:val="009565CE"/>
    <w:rsid w:val="00973368"/>
    <w:rsid w:val="009B7A65"/>
    <w:rsid w:val="009C0A17"/>
    <w:rsid w:val="009C3BE5"/>
    <w:rsid w:val="00A12697"/>
    <w:rsid w:val="00A27E65"/>
    <w:rsid w:val="00A52B41"/>
    <w:rsid w:val="00A86334"/>
    <w:rsid w:val="00A907FC"/>
    <w:rsid w:val="00AA3B98"/>
    <w:rsid w:val="00AA59E6"/>
    <w:rsid w:val="00AC09FB"/>
    <w:rsid w:val="00AC13E6"/>
    <w:rsid w:val="00AD05DC"/>
    <w:rsid w:val="00AD5BAA"/>
    <w:rsid w:val="00AF3B6F"/>
    <w:rsid w:val="00B217AB"/>
    <w:rsid w:val="00B34929"/>
    <w:rsid w:val="00B370CA"/>
    <w:rsid w:val="00B432FA"/>
    <w:rsid w:val="00B44C71"/>
    <w:rsid w:val="00B46D15"/>
    <w:rsid w:val="00B50E95"/>
    <w:rsid w:val="00B53143"/>
    <w:rsid w:val="00B76838"/>
    <w:rsid w:val="00BB409B"/>
    <w:rsid w:val="00C12B03"/>
    <w:rsid w:val="00C41698"/>
    <w:rsid w:val="00C54ACB"/>
    <w:rsid w:val="00C6402F"/>
    <w:rsid w:val="00C942D3"/>
    <w:rsid w:val="00CA7788"/>
    <w:rsid w:val="00CB480C"/>
    <w:rsid w:val="00CB5A7C"/>
    <w:rsid w:val="00CC3C18"/>
    <w:rsid w:val="00CE096F"/>
    <w:rsid w:val="00CE23EB"/>
    <w:rsid w:val="00CE643D"/>
    <w:rsid w:val="00D2218A"/>
    <w:rsid w:val="00D31253"/>
    <w:rsid w:val="00D504BD"/>
    <w:rsid w:val="00D56BC6"/>
    <w:rsid w:val="00D749B4"/>
    <w:rsid w:val="00D86BDD"/>
    <w:rsid w:val="00DB3D35"/>
    <w:rsid w:val="00DB6BF0"/>
    <w:rsid w:val="00DE158F"/>
    <w:rsid w:val="00E07854"/>
    <w:rsid w:val="00E16094"/>
    <w:rsid w:val="00E172F2"/>
    <w:rsid w:val="00E320D5"/>
    <w:rsid w:val="00E34DD9"/>
    <w:rsid w:val="00E40F31"/>
    <w:rsid w:val="00E52CE5"/>
    <w:rsid w:val="00E5666D"/>
    <w:rsid w:val="00E7286A"/>
    <w:rsid w:val="00E91573"/>
    <w:rsid w:val="00EB4D55"/>
    <w:rsid w:val="00ED20AF"/>
    <w:rsid w:val="00ED423B"/>
    <w:rsid w:val="00EE4A00"/>
    <w:rsid w:val="00F12611"/>
    <w:rsid w:val="00F17E13"/>
    <w:rsid w:val="00F2588E"/>
    <w:rsid w:val="00F30378"/>
    <w:rsid w:val="00F33589"/>
    <w:rsid w:val="00F73411"/>
    <w:rsid w:val="00F93CBF"/>
    <w:rsid w:val="00FC6763"/>
    <w:rsid w:val="00FD6771"/>
    <w:rsid w:val="00FE5519"/>
    <w:rsid w:val="00FF5AB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EB4D55"/>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basedOn w:val="DefaultParagraphFont"/>
    <w:link w:val="ListParagraph"/>
    <w:uiPriority w:val="34"/>
    <w:locked/>
    <w:rsid w:val="005F14ED"/>
    <w:rPr>
      <w:rFonts w:ascii="Calibri" w:eastAsia="Calibri" w:hAnsi="Calibri" w:cs="Times New Roman"/>
    </w:rPr>
  </w:style>
  <w:style w:type="table" w:customStyle="1" w:styleId="LightShading1">
    <w:name w:val="Light Shading1"/>
    <w:basedOn w:val="TableNormal"/>
    <w:uiPriority w:val="60"/>
    <w:rsid w:val="005F1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A72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39"/>
    <w:rsid w:val="0076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EB4D55"/>
    <w:rPr>
      <w:rFonts w:ascii="Times New Roman" w:eastAsia="BatangChe" w:hAnsi="Times New Roman" w:cs="Times New Roman"/>
      <w:b/>
      <w:i/>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EB4D55"/>
    <w:rPr>
      <w:rFonts w:asciiTheme="majorHAnsi" w:eastAsiaTheme="majorEastAsia" w:hAnsiTheme="majorHAnsi" w:cstheme="majorBidi"/>
      <w:color w:val="365F91" w:themeColor="accent1" w:themeShade="BF"/>
      <w:sz w:val="32"/>
      <w:szCs w:val="32"/>
    </w:rPr>
  </w:style>
  <w:style w:type="paragraph" w:customStyle="1" w:styleId="Tabletitle">
    <w:name w:val="Tabletitle"/>
    <w:basedOn w:val="Body"/>
    <w:rsid w:val="007E0220"/>
    <w:pPr>
      <w:spacing w:before="240" w:after="120"/>
      <w:jc w:val="center"/>
    </w:pPr>
    <w:rPr>
      <w:i/>
    </w:rPr>
  </w:style>
  <w:style w:type="paragraph" w:styleId="HTMLPreformatted">
    <w:name w:val="HTML Preformatted"/>
    <w:basedOn w:val="Normal"/>
    <w:link w:val="HTMLPreformattedChar"/>
    <w:uiPriority w:val="99"/>
    <w:unhideWhenUsed/>
    <w:rsid w:val="008A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56E7"/>
    <w:rPr>
      <w:rFonts w:ascii="Courier New" w:eastAsia="Times New Roman" w:hAnsi="Courier New" w:cs="Courier New"/>
      <w:sz w:val="20"/>
      <w:szCs w:val="20"/>
      <w:lang w:val="id-ID" w:eastAsia="zh-CN"/>
    </w:rPr>
  </w:style>
  <w:style w:type="character" w:styleId="CommentReference">
    <w:name w:val="annotation reference"/>
    <w:basedOn w:val="DefaultParagraphFont"/>
    <w:uiPriority w:val="99"/>
    <w:semiHidden/>
    <w:unhideWhenUsed/>
    <w:rsid w:val="00925DB1"/>
    <w:rPr>
      <w:sz w:val="16"/>
      <w:szCs w:val="16"/>
    </w:rPr>
  </w:style>
  <w:style w:type="paragraph" w:customStyle="1" w:styleId="a">
    <w:name w:val="Обычный для статьи"/>
    <w:basedOn w:val="Normal"/>
    <w:link w:val="a0"/>
    <w:qFormat/>
    <w:rsid w:val="00925DB1"/>
    <w:pPr>
      <w:spacing w:after="60" w:line="240" w:lineRule="auto"/>
      <w:ind w:firstLine="425"/>
      <w:jc w:val="both"/>
    </w:pPr>
    <w:rPr>
      <w:rFonts w:ascii="Century Schoolbook" w:hAnsi="Century Schoolbook"/>
      <w:color w:val="000000"/>
      <w:sz w:val="20"/>
    </w:rPr>
  </w:style>
  <w:style w:type="character" w:customStyle="1" w:styleId="a0">
    <w:name w:val="Обычный для статьи Знак"/>
    <w:basedOn w:val="DefaultParagraphFont"/>
    <w:link w:val="a"/>
    <w:rsid w:val="00925DB1"/>
    <w:rPr>
      <w:rFonts w:ascii="Century Schoolbook" w:hAnsi="Century Schoolbook"/>
      <w:color w:val="000000"/>
      <w:sz w:val="20"/>
    </w:rPr>
  </w:style>
  <w:style w:type="character" w:customStyle="1" w:styleId="alt-edited">
    <w:name w:val="alt-edited"/>
    <w:basedOn w:val="DefaultParagraphFont"/>
    <w:rsid w:val="00925DB1"/>
  </w:style>
  <w:style w:type="character" w:customStyle="1" w:styleId="shorttext">
    <w:name w:val="short_text"/>
    <w:basedOn w:val="DefaultParagraphFont"/>
    <w:rsid w:val="00514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EB4D55"/>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basedOn w:val="DefaultParagraphFont"/>
    <w:link w:val="ListParagraph"/>
    <w:uiPriority w:val="34"/>
    <w:locked/>
    <w:rsid w:val="005F14ED"/>
    <w:rPr>
      <w:rFonts w:ascii="Calibri" w:eastAsia="Calibri" w:hAnsi="Calibri" w:cs="Times New Roman"/>
    </w:rPr>
  </w:style>
  <w:style w:type="table" w:customStyle="1" w:styleId="LightShading1">
    <w:name w:val="Light Shading1"/>
    <w:basedOn w:val="TableNormal"/>
    <w:uiPriority w:val="60"/>
    <w:rsid w:val="005F1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A72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39"/>
    <w:rsid w:val="0076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EB4D55"/>
    <w:rPr>
      <w:rFonts w:ascii="Times New Roman" w:eastAsia="BatangChe" w:hAnsi="Times New Roman" w:cs="Times New Roman"/>
      <w:b/>
      <w:i/>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EB4D55"/>
    <w:rPr>
      <w:rFonts w:asciiTheme="majorHAnsi" w:eastAsiaTheme="majorEastAsia" w:hAnsiTheme="majorHAnsi" w:cstheme="majorBidi"/>
      <w:color w:val="365F91" w:themeColor="accent1" w:themeShade="BF"/>
      <w:sz w:val="32"/>
      <w:szCs w:val="32"/>
    </w:rPr>
  </w:style>
  <w:style w:type="paragraph" w:customStyle="1" w:styleId="Tabletitle">
    <w:name w:val="Tabletitle"/>
    <w:basedOn w:val="Body"/>
    <w:rsid w:val="007E0220"/>
    <w:pPr>
      <w:spacing w:before="240" w:after="120"/>
      <w:jc w:val="center"/>
    </w:pPr>
    <w:rPr>
      <w:i/>
    </w:rPr>
  </w:style>
  <w:style w:type="paragraph" w:styleId="HTMLPreformatted">
    <w:name w:val="HTML Preformatted"/>
    <w:basedOn w:val="Normal"/>
    <w:link w:val="HTMLPreformattedChar"/>
    <w:uiPriority w:val="99"/>
    <w:unhideWhenUsed/>
    <w:rsid w:val="008A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56E7"/>
    <w:rPr>
      <w:rFonts w:ascii="Courier New" w:eastAsia="Times New Roman" w:hAnsi="Courier New" w:cs="Courier New"/>
      <w:sz w:val="20"/>
      <w:szCs w:val="20"/>
      <w:lang w:val="id-ID" w:eastAsia="zh-CN"/>
    </w:rPr>
  </w:style>
  <w:style w:type="character" w:styleId="CommentReference">
    <w:name w:val="annotation reference"/>
    <w:basedOn w:val="DefaultParagraphFont"/>
    <w:uiPriority w:val="99"/>
    <w:semiHidden/>
    <w:unhideWhenUsed/>
    <w:rsid w:val="00925DB1"/>
    <w:rPr>
      <w:sz w:val="16"/>
      <w:szCs w:val="16"/>
    </w:rPr>
  </w:style>
  <w:style w:type="paragraph" w:customStyle="1" w:styleId="a">
    <w:name w:val="Обычный для статьи"/>
    <w:basedOn w:val="Normal"/>
    <w:link w:val="a0"/>
    <w:qFormat/>
    <w:rsid w:val="00925DB1"/>
    <w:pPr>
      <w:spacing w:after="60" w:line="240" w:lineRule="auto"/>
      <w:ind w:firstLine="425"/>
      <w:jc w:val="both"/>
    </w:pPr>
    <w:rPr>
      <w:rFonts w:ascii="Century Schoolbook" w:hAnsi="Century Schoolbook"/>
      <w:color w:val="000000"/>
      <w:sz w:val="20"/>
    </w:rPr>
  </w:style>
  <w:style w:type="character" w:customStyle="1" w:styleId="a0">
    <w:name w:val="Обычный для статьи Знак"/>
    <w:basedOn w:val="DefaultParagraphFont"/>
    <w:link w:val="a"/>
    <w:rsid w:val="00925DB1"/>
    <w:rPr>
      <w:rFonts w:ascii="Century Schoolbook" w:hAnsi="Century Schoolbook"/>
      <w:color w:val="000000"/>
      <w:sz w:val="20"/>
    </w:rPr>
  </w:style>
  <w:style w:type="character" w:customStyle="1" w:styleId="alt-edited">
    <w:name w:val="alt-edited"/>
    <w:basedOn w:val="DefaultParagraphFont"/>
    <w:rsid w:val="00925DB1"/>
  </w:style>
  <w:style w:type="character" w:customStyle="1" w:styleId="shorttext">
    <w:name w:val="short_text"/>
    <w:basedOn w:val="DefaultParagraphFont"/>
    <w:rsid w:val="0051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25145">
      <w:bodyDiv w:val="1"/>
      <w:marLeft w:val="0"/>
      <w:marRight w:val="0"/>
      <w:marTop w:val="0"/>
      <w:marBottom w:val="0"/>
      <w:divBdr>
        <w:top w:val="none" w:sz="0" w:space="0" w:color="auto"/>
        <w:left w:val="none" w:sz="0" w:space="0" w:color="auto"/>
        <w:bottom w:val="none" w:sz="0" w:space="0" w:color="auto"/>
        <w:right w:val="none" w:sz="0" w:space="0" w:color="auto"/>
      </w:divBdr>
    </w:div>
    <w:div w:id="18701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F97197-F1F4-4638-8CC9-CA1DAD52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14248</Words>
  <Characters>81217</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okti</dc:creator>
  <cp:lastModifiedBy>SAPTI</cp:lastModifiedBy>
  <cp:revision>2</cp:revision>
  <cp:lastPrinted>2019-02-21T17:26:00Z</cp:lastPrinted>
  <dcterms:created xsi:type="dcterms:W3CDTF">2019-02-26T13:10:00Z</dcterms:created>
  <dcterms:modified xsi:type="dcterms:W3CDTF">2019-02-26T13:10:00Z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a7f6b4c2-0b64-3811-84eb-398de1a5ad18</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